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DD96A" w14:textId="746A2B66" w:rsidR="00B40C02" w:rsidRDefault="00B40C02" w:rsidP="00B40C02">
      <w:pPr>
        <w:pStyle w:val="Header"/>
        <w:rPr>
          <w:sz w:val="24"/>
          <w:szCs w:val="24"/>
        </w:rPr>
      </w:pPr>
      <w:bookmarkStart w:id="0" w:name="_Hlk519580081"/>
      <w:bookmarkStart w:id="1" w:name="_Hlk527628066"/>
      <w:r>
        <w:rPr>
          <w:sz w:val="24"/>
          <w:szCs w:val="24"/>
        </w:rPr>
        <w:t xml:space="preserve">3GPP TSG-RAN WG3 #118 </w:t>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R3-22</w:t>
      </w:r>
      <w:r w:rsidR="000C2632">
        <w:rPr>
          <w:sz w:val="24"/>
          <w:szCs w:val="24"/>
        </w:rPr>
        <w:t>6309</w:t>
      </w:r>
      <w:r>
        <w:rPr>
          <w:sz w:val="24"/>
          <w:szCs w:val="24"/>
        </w:rPr>
        <w:t xml:space="preserve">                                                </w:t>
      </w:r>
    </w:p>
    <w:p w14:paraId="539AA161" w14:textId="77777777" w:rsidR="00B40C02" w:rsidRDefault="00B40C02" w:rsidP="00B40C02">
      <w:pPr>
        <w:pStyle w:val="Header"/>
        <w:rPr>
          <w:sz w:val="24"/>
          <w:szCs w:val="24"/>
        </w:rPr>
      </w:pPr>
      <w:r>
        <w:rPr>
          <w:sz w:val="24"/>
          <w:szCs w:val="24"/>
        </w:rPr>
        <w:t>14th – 18th Nov 2022</w:t>
      </w:r>
    </w:p>
    <w:p w14:paraId="6E2DF953" w14:textId="77777777" w:rsidR="00B40C02" w:rsidRDefault="00B40C02" w:rsidP="00B40C02">
      <w:pPr>
        <w:pStyle w:val="Header"/>
        <w:rPr>
          <w:sz w:val="24"/>
          <w:szCs w:val="24"/>
        </w:rPr>
      </w:pPr>
      <w:r>
        <w:rPr>
          <w:sz w:val="24"/>
          <w:szCs w:val="24"/>
        </w:rPr>
        <w:t>Toulouse, France</w:t>
      </w:r>
    </w:p>
    <w:bookmarkEnd w:id="0"/>
    <w:p w14:paraId="2B59E820" w14:textId="77777777" w:rsidR="00952130" w:rsidRPr="00B266B0" w:rsidRDefault="00952130" w:rsidP="00952130">
      <w:pPr>
        <w:pStyle w:val="Header"/>
        <w:rPr>
          <w:bCs w:val="0"/>
          <w:noProof w:val="0"/>
          <w:sz w:val="24"/>
        </w:rPr>
      </w:pPr>
    </w:p>
    <w:p w14:paraId="332AEB71" w14:textId="175FD100"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D91C92">
        <w:rPr>
          <w:rFonts w:cs="Arial"/>
          <w:b/>
          <w:bCs/>
          <w:sz w:val="24"/>
          <w:lang w:eastAsia="ja-JP"/>
        </w:rPr>
        <w:t>2</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577FB66A"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294B2A">
        <w:rPr>
          <w:rFonts w:cs="Arial"/>
          <w:b/>
          <w:bCs/>
          <w:sz w:val="24"/>
        </w:rPr>
        <w:t xml:space="preserve">Discussion on </w:t>
      </w:r>
      <w:r w:rsidR="00E42B0C" w:rsidRPr="00E42B0C">
        <w:rPr>
          <w:rFonts w:cs="Arial"/>
          <w:b/>
          <w:bCs/>
          <w:sz w:val="24"/>
        </w:rPr>
        <w:t>Consecutive partial migration</w:t>
      </w:r>
      <w:r w:rsidR="00294B2A">
        <w:rPr>
          <w:rFonts w:cs="Arial"/>
          <w:b/>
          <w:bCs/>
          <w:sz w:val="24"/>
        </w:rPr>
        <w:t xml:space="preserve"> and full migration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1"/>
    <w:p w14:paraId="23AF1DA7" w14:textId="09059A70" w:rsidR="00E86720" w:rsidRDefault="006C3E34" w:rsidP="009443C0">
      <w:pPr>
        <w:spacing w:after="180"/>
        <w:jc w:val="left"/>
      </w:pPr>
      <w:r>
        <w:t>This contribution discusses the</w:t>
      </w:r>
      <w:r w:rsidR="007A2B07">
        <w:t xml:space="preserve"> </w:t>
      </w:r>
      <w:r w:rsidR="007679F8">
        <w:t xml:space="preserve">issues on </w:t>
      </w:r>
      <w:r w:rsidR="00C11991">
        <w:t xml:space="preserve">consecutive </w:t>
      </w:r>
      <w:r w:rsidR="007679F8">
        <w:t>partial migration and full migration</w:t>
      </w:r>
      <w:r w:rsidR="00C67941">
        <w:t xml:space="preserve">. </w:t>
      </w:r>
    </w:p>
    <w:p w14:paraId="3E5215A7" w14:textId="6E158819" w:rsidR="009443C0" w:rsidRDefault="009443C0">
      <w:pPr>
        <w:overflowPunct/>
        <w:autoSpaceDE/>
        <w:autoSpaceDN/>
        <w:adjustRightInd/>
        <w:spacing w:after="0"/>
        <w:jc w:val="left"/>
        <w:textAlignment w:val="auto"/>
      </w:pPr>
    </w:p>
    <w:p w14:paraId="53156DAD" w14:textId="77777777" w:rsidR="00E261B5" w:rsidRDefault="00E261B5" w:rsidP="00E261B5">
      <w:pPr>
        <w:pStyle w:val="Heading1"/>
      </w:pPr>
      <w:r>
        <w:t>Consecutive partial migration</w:t>
      </w:r>
    </w:p>
    <w:p w14:paraId="781D71E4" w14:textId="77777777" w:rsidR="00E261B5" w:rsidRDefault="00E261B5" w:rsidP="00E261B5">
      <w:r>
        <w:t>Last RAN3 meeting agreed following</w:t>
      </w:r>
    </w:p>
    <w:p w14:paraId="1CA73530" w14:textId="77777777" w:rsidR="00E261B5" w:rsidRPr="0034409C" w:rsidRDefault="00E261B5" w:rsidP="00E261B5">
      <w:pPr>
        <w:widowControl w:val="0"/>
        <w:ind w:left="144" w:hanging="144"/>
        <w:rPr>
          <w:rFonts w:ascii="Calibri" w:hAnsi="Calibri" w:cs="Calibri"/>
          <w:b/>
          <w:color w:val="008000"/>
          <w:sz w:val="18"/>
          <w:szCs w:val="18"/>
          <w:lang w:eastAsia="en-US"/>
        </w:rPr>
      </w:pPr>
      <w:r w:rsidRPr="0034409C">
        <w:rPr>
          <w:rFonts w:ascii="Calibri" w:hAnsi="Calibri" w:cs="Calibri"/>
          <w:b/>
          <w:color w:val="008000"/>
          <w:sz w:val="18"/>
          <w:szCs w:val="18"/>
          <w:lang w:eastAsia="en-US"/>
        </w:rPr>
        <w:t xml:space="preserve">The mobile IAB-node may perform multiple consecutive partial migrations without inter-donor migration of its mobile IAB-DU. </w:t>
      </w:r>
    </w:p>
    <w:p w14:paraId="55B02191" w14:textId="77777777" w:rsidR="00E261B5" w:rsidRDefault="00E261B5" w:rsidP="00E261B5">
      <w:pPr>
        <w:overflowPunct/>
        <w:autoSpaceDE/>
        <w:autoSpaceDN/>
        <w:adjustRightInd/>
        <w:spacing w:after="0"/>
        <w:jc w:val="left"/>
        <w:textAlignment w:val="auto"/>
        <w:rPr>
          <w:rFonts w:eastAsia="宋体"/>
          <w:lang w:eastAsia="en-US"/>
        </w:rPr>
      </w:pPr>
    </w:p>
    <w:p w14:paraId="61049B2E" w14:textId="512BC523" w:rsidR="00E261B5" w:rsidRDefault="00E261B5" w:rsidP="00E261B5">
      <w:pPr>
        <w:overflowPunct/>
        <w:autoSpaceDE/>
        <w:autoSpaceDN/>
        <w:adjustRightInd/>
        <w:spacing w:after="0"/>
        <w:jc w:val="left"/>
        <w:textAlignment w:val="auto"/>
        <w:rPr>
          <w:rFonts w:eastAsia="宋体"/>
          <w:lang w:eastAsia="en-US"/>
        </w:rPr>
      </w:pPr>
      <w:r>
        <w:rPr>
          <w:rFonts w:eastAsia="宋体"/>
          <w:lang w:eastAsia="en-US"/>
        </w:rPr>
        <w:t xml:space="preserve">Let’s assume the partial migration is performed from </w:t>
      </w:r>
      <w:r w:rsidR="00113F81">
        <w:rPr>
          <w:rFonts w:eastAsia="宋体"/>
          <w:lang w:eastAsia="en-US"/>
        </w:rPr>
        <w:t xml:space="preserve">IAB-donor1 </w:t>
      </w:r>
      <w:r>
        <w:rPr>
          <w:rFonts w:eastAsia="宋体"/>
          <w:lang w:eastAsia="en-US"/>
        </w:rPr>
        <w:t xml:space="preserve">to </w:t>
      </w:r>
      <w:r w:rsidR="00113F81">
        <w:rPr>
          <w:rFonts w:eastAsia="宋体"/>
          <w:lang w:eastAsia="en-US"/>
        </w:rPr>
        <w:t>IAB-donor2</w:t>
      </w:r>
      <w:r>
        <w:rPr>
          <w:rFonts w:eastAsia="宋体"/>
          <w:lang w:eastAsia="en-US"/>
        </w:rPr>
        <w:t xml:space="preserve">, then to </w:t>
      </w:r>
      <w:r w:rsidR="008243B5">
        <w:rPr>
          <w:rFonts w:eastAsia="宋体"/>
          <w:lang w:eastAsia="en-US"/>
        </w:rPr>
        <w:t>IAB-donor3</w:t>
      </w:r>
      <w:r>
        <w:rPr>
          <w:rFonts w:eastAsia="宋体"/>
          <w:lang w:eastAsia="en-US"/>
        </w:rPr>
        <w:t>. A possible procedure based on Rel-17 is described below:</w:t>
      </w:r>
    </w:p>
    <w:p w14:paraId="08C215F2" w14:textId="568C7BCA" w:rsidR="00E261B5" w:rsidRPr="00015D77" w:rsidRDefault="00E261B5" w:rsidP="00E261B5">
      <w:pPr>
        <w:pStyle w:val="ListParagraph"/>
        <w:numPr>
          <w:ilvl w:val="0"/>
          <w:numId w:val="35"/>
        </w:numPr>
        <w:overflowPunct/>
        <w:autoSpaceDE/>
        <w:autoSpaceDN/>
        <w:adjustRightInd/>
        <w:spacing w:after="0"/>
        <w:jc w:val="left"/>
        <w:textAlignment w:val="auto"/>
        <w:rPr>
          <w:rFonts w:eastAsia="宋体"/>
          <w:lang w:eastAsia="en-US"/>
        </w:rPr>
      </w:pPr>
      <w:r>
        <w:rPr>
          <w:rFonts w:eastAsia="宋体" w:hint="eastAsia"/>
          <w:lang w:eastAsia="en-US"/>
        </w:rPr>
        <w:t>S</w:t>
      </w:r>
      <w:r>
        <w:rPr>
          <w:rFonts w:eastAsia="宋体"/>
          <w:lang w:eastAsia="en-US"/>
        </w:rPr>
        <w:t xml:space="preserve">tep 1: </w:t>
      </w:r>
      <w:r w:rsidRPr="00015D77">
        <w:rPr>
          <w:rFonts w:eastAsia="宋体"/>
          <w:lang w:eastAsia="en-US"/>
        </w:rPr>
        <w:t xml:space="preserve">IAB is partial migration from </w:t>
      </w:r>
      <w:r w:rsidR="00113F81">
        <w:rPr>
          <w:rFonts w:eastAsia="宋体"/>
          <w:lang w:eastAsia="en-US"/>
        </w:rPr>
        <w:t xml:space="preserve">IAB-donor1 </w:t>
      </w:r>
      <w:r w:rsidRPr="00015D77">
        <w:rPr>
          <w:rFonts w:eastAsia="宋体"/>
          <w:lang w:eastAsia="en-US"/>
        </w:rPr>
        <w:t xml:space="preserve">to </w:t>
      </w:r>
      <w:r w:rsidR="00113F81">
        <w:rPr>
          <w:rFonts w:eastAsia="宋体"/>
          <w:lang w:eastAsia="en-US"/>
        </w:rPr>
        <w:t>IAB-donor2</w:t>
      </w:r>
      <w:r w:rsidRPr="00015D77">
        <w:rPr>
          <w:rFonts w:eastAsia="宋体"/>
          <w:lang w:eastAsia="en-US"/>
        </w:rPr>
        <w:t>.</w:t>
      </w:r>
      <w:r w:rsidR="00B66A91">
        <w:rPr>
          <w:rFonts w:eastAsia="宋体"/>
          <w:lang w:eastAsia="en-US"/>
        </w:rPr>
        <w:t xml:space="preserve"> (source XnAP UE ID: 100, target XnAP UE ID: 200)</w:t>
      </w:r>
    </w:p>
    <w:p w14:paraId="18D09D6A" w14:textId="77777777" w:rsidR="00E261B5" w:rsidRDefault="00E261B5" w:rsidP="00E261B5">
      <w:pPr>
        <w:pStyle w:val="ListParagraph"/>
        <w:overflowPunct/>
        <w:autoSpaceDE/>
        <w:autoSpaceDN/>
        <w:adjustRightInd/>
        <w:spacing w:after="0"/>
        <w:ind w:left="465"/>
        <w:jc w:val="left"/>
        <w:textAlignment w:val="auto"/>
        <w:rPr>
          <w:rFonts w:eastAsia="宋体"/>
          <w:lang w:eastAsia="en-US"/>
        </w:rPr>
      </w:pPr>
    </w:p>
    <w:p w14:paraId="16339D57" w14:textId="281352C0" w:rsidR="00E261B5" w:rsidRDefault="00E261B5" w:rsidP="00E261B5">
      <w:pPr>
        <w:pStyle w:val="ListParagraph"/>
        <w:overflowPunct/>
        <w:autoSpaceDE/>
        <w:autoSpaceDN/>
        <w:adjustRightInd/>
        <w:spacing w:after="0"/>
        <w:ind w:left="465"/>
        <w:jc w:val="left"/>
        <w:textAlignment w:val="auto"/>
        <w:rPr>
          <w:rFonts w:eastAsia="宋体"/>
          <w:lang w:eastAsia="en-US"/>
        </w:rPr>
      </w:pPr>
      <w:r w:rsidRPr="00015D77">
        <w:rPr>
          <w:rFonts w:eastAsia="宋体"/>
          <w:lang w:eastAsia="en-US"/>
        </w:rPr>
        <w:t>(Starts further partial migration</w:t>
      </w:r>
      <w:r>
        <w:rPr>
          <w:rFonts w:eastAsia="宋体"/>
          <w:lang w:eastAsia="en-US"/>
        </w:rPr>
        <w:t xml:space="preserve"> to </w:t>
      </w:r>
      <w:r w:rsidR="008243B5">
        <w:rPr>
          <w:rFonts w:eastAsia="宋体"/>
          <w:lang w:eastAsia="en-US"/>
        </w:rPr>
        <w:t>IAB-donor3</w:t>
      </w:r>
      <w:r w:rsidRPr="00015D77">
        <w:rPr>
          <w:rFonts w:eastAsia="宋体"/>
          <w:lang w:eastAsia="en-US"/>
        </w:rPr>
        <w:t>)</w:t>
      </w:r>
    </w:p>
    <w:p w14:paraId="5527BE10" w14:textId="046DE4BE" w:rsidR="00E261B5" w:rsidRDefault="00E261B5" w:rsidP="00E261B5">
      <w:pPr>
        <w:pStyle w:val="ListParagraph"/>
        <w:numPr>
          <w:ilvl w:val="0"/>
          <w:numId w:val="35"/>
        </w:numPr>
        <w:overflowPunct/>
        <w:autoSpaceDE/>
        <w:autoSpaceDN/>
        <w:adjustRightInd/>
        <w:spacing w:after="0"/>
        <w:jc w:val="left"/>
        <w:textAlignment w:val="auto"/>
        <w:rPr>
          <w:rFonts w:eastAsia="宋体"/>
          <w:lang w:eastAsia="en-US"/>
        </w:rPr>
      </w:pPr>
      <w:r w:rsidRPr="073AF6B5">
        <w:rPr>
          <w:rFonts w:eastAsia="宋体"/>
          <w:lang w:eastAsia="en-US"/>
        </w:rPr>
        <w:t xml:space="preserve">Step 2: </w:t>
      </w:r>
      <w:r w:rsidR="00113F81" w:rsidRPr="073AF6B5">
        <w:rPr>
          <w:rFonts w:eastAsia="宋体"/>
          <w:lang w:eastAsia="en-US"/>
        </w:rPr>
        <w:t>IAB-donor2</w:t>
      </w:r>
      <w:r w:rsidRPr="073AF6B5">
        <w:rPr>
          <w:rFonts w:eastAsia="宋体"/>
          <w:lang w:eastAsia="en-US"/>
        </w:rPr>
        <w:t xml:space="preserve"> send Xn HANDOVER REQUEST</w:t>
      </w:r>
      <w:r w:rsidR="00997F80" w:rsidRPr="073AF6B5">
        <w:rPr>
          <w:rFonts w:eastAsia="宋体"/>
          <w:lang w:eastAsia="en-US"/>
        </w:rPr>
        <w:t xml:space="preserve"> (source XnAP</w:t>
      </w:r>
      <w:r w:rsidR="00B66A91" w:rsidRPr="073AF6B5">
        <w:rPr>
          <w:rFonts w:eastAsia="宋体"/>
          <w:lang w:eastAsia="en-US"/>
        </w:rPr>
        <w:t xml:space="preserve"> UE</w:t>
      </w:r>
      <w:r w:rsidR="00997F80" w:rsidRPr="073AF6B5">
        <w:rPr>
          <w:rFonts w:eastAsia="宋体"/>
          <w:lang w:eastAsia="en-US"/>
        </w:rPr>
        <w:t xml:space="preserve"> ID: </w:t>
      </w:r>
      <w:r w:rsidR="00464D81" w:rsidRPr="073AF6B5">
        <w:rPr>
          <w:rFonts w:eastAsia="宋体"/>
          <w:lang w:eastAsia="en-US"/>
        </w:rPr>
        <w:t>2</w:t>
      </w:r>
      <w:r w:rsidR="00997F80" w:rsidRPr="073AF6B5">
        <w:rPr>
          <w:rFonts w:eastAsia="宋体"/>
          <w:lang w:eastAsia="en-US"/>
        </w:rPr>
        <w:t>0</w:t>
      </w:r>
      <w:r w:rsidR="00464D81" w:rsidRPr="073AF6B5">
        <w:rPr>
          <w:rFonts w:eastAsia="宋体"/>
          <w:lang w:eastAsia="en-US"/>
        </w:rPr>
        <w:t>1</w:t>
      </w:r>
      <w:r w:rsidR="00997F80" w:rsidRPr="073AF6B5">
        <w:rPr>
          <w:rFonts w:eastAsia="宋体"/>
          <w:lang w:eastAsia="en-US"/>
        </w:rPr>
        <w:t>)</w:t>
      </w:r>
      <w:r w:rsidRPr="073AF6B5">
        <w:rPr>
          <w:rFonts w:eastAsia="宋体"/>
          <w:lang w:eastAsia="en-US"/>
        </w:rPr>
        <w:t xml:space="preserve"> to </w:t>
      </w:r>
      <w:r w:rsidR="008243B5" w:rsidRPr="073AF6B5">
        <w:rPr>
          <w:rFonts w:eastAsia="宋体"/>
          <w:lang w:eastAsia="en-US"/>
        </w:rPr>
        <w:t>IAB-donor3</w:t>
      </w:r>
      <w:r w:rsidRPr="073AF6B5">
        <w:rPr>
          <w:rFonts w:eastAsia="宋体"/>
          <w:lang w:eastAsia="en-US"/>
        </w:rPr>
        <w:t xml:space="preserve">, i.e. start the further partial migration to </w:t>
      </w:r>
      <w:r w:rsidR="008243B5" w:rsidRPr="073AF6B5">
        <w:rPr>
          <w:rFonts w:eastAsia="宋体"/>
          <w:lang w:eastAsia="en-US"/>
        </w:rPr>
        <w:t>IAB-donor3</w:t>
      </w:r>
      <w:r w:rsidRPr="073AF6B5">
        <w:rPr>
          <w:rFonts w:eastAsia="宋体"/>
          <w:lang w:eastAsia="en-US"/>
        </w:rPr>
        <w:t xml:space="preserve">. </w:t>
      </w:r>
    </w:p>
    <w:p w14:paraId="06ECF471" w14:textId="2015B7AD" w:rsidR="009621E8" w:rsidRPr="00181D57" w:rsidRDefault="009621E8" w:rsidP="009621E8">
      <w:pPr>
        <w:pStyle w:val="ListParagraph"/>
        <w:overflowPunct/>
        <w:autoSpaceDE/>
        <w:autoSpaceDN/>
        <w:adjustRightInd/>
        <w:spacing w:after="0"/>
        <w:ind w:left="465"/>
        <w:jc w:val="left"/>
        <w:textAlignment w:val="auto"/>
        <w:rPr>
          <w:rFonts w:eastAsia="宋体"/>
          <w:u w:val="single"/>
          <w:lang w:eastAsia="en-US"/>
        </w:rPr>
      </w:pPr>
      <w:r w:rsidRPr="00181D57">
        <w:rPr>
          <w:rFonts w:eastAsia="宋体"/>
          <w:u w:val="single"/>
          <w:lang w:eastAsia="en-US"/>
        </w:rPr>
        <w:t xml:space="preserve">The Xn HANDOVER REQUEST message also includes the XnAP UE ID (e.g. 100) assigned by IAB-donor1-CU. </w:t>
      </w:r>
    </w:p>
    <w:p w14:paraId="7C34395E" w14:textId="77777777" w:rsidR="009621E8" w:rsidRPr="00015D77" w:rsidRDefault="009621E8" w:rsidP="009621E8">
      <w:pPr>
        <w:pStyle w:val="ListParagraph"/>
        <w:overflowPunct/>
        <w:autoSpaceDE/>
        <w:autoSpaceDN/>
        <w:adjustRightInd/>
        <w:spacing w:after="0"/>
        <w:ind w:left="465"/>
        <w:jc w:val="left"/>
        <w:textAlignment w:val="auto"/>
        <w:rPr>
          <w:rFonts w:eastAsia="宋体"/>
          <w:lang w:eastAsia="en-US"/>
        </w:rPr>
      </w:pPr>
    </w:p>
    <w:p w14:paraId="70B35323" w14:textId="4D982EA5" w:rsidR="00E261B5" w:rsidRDefault="00E261B5" w:rsidP="00E261B5">
      <w:pPr>
        <w:pStyle w:val="ListParagraph"/>
        <w:numPr>
          <w:ilvl w:val="0"/>
          <w:numId w:val="35"/>
        </w:numPr>
        <w:overflowPunct/>
        <w:autoSpaceDE/>
        <w:autoSpaceDN/>
        <w:adjustRightInd/>
        <w:spacing w:after="0"/>
        <w:jc w:val="left"/>
        <w:textAlignment w:val="auto"/>
        <w:rPr>
          <w:rFonts w:eastAsia="宋体"/>
          <w:lang w:eastAsia="en-US"/>
        </w:rPr>
      </w:pPr>
      <w:r>
        <w:rPr>
          <w:rFonts w:eastAsia="宋体" w:hint="eastAsia"/>
          <w:lang w:eastAsia="en-US"/>
        </w:rPr>
        <w:t>S</w:t>
      </w:r>
      <w:r>
        <w:rPr>
          <w:rFonts w:eastAsia="宋体"/>
          <w:lang w:eastAsia="en-US"/>
        </w:rPr>
        <w:t xml:space="preserve">tep 3: </w:t>
      </w:r>
      <w:r w:rsidR="00113F81">
        <w:rPr>
          <w:rFonts w:eastAsia="宋体"/>
          <w:lang w:eastAsia="en-US"/>
        </w:rPr>
        <w:t>IAB-donor2</w:t>
      </w:r>
      <w:r w:rsidRPr="00015D77">
        <w:rPr>
          <w:rFonts w:eastAsia="宋体"/>
          <w:lang w:eastAsia="en-US"/>
        </w:rPr>
        <w:t xml:space="preserve"> receive the Xn H</w:t>
      </w:r>
      <w:r>
        <w:rPr>
          <w:rFonts w:eastAsia="宋体"/>
          <w:lang w:eastAsia="en-US"/>
        </w:rPr>
        <w:t>ANDOVER REQUEST</w:t>
      </w:r>
      <w:r w:rsidRPr="00015D77">
        <w:rPr>
          <w:rFonts w:eastAsia="宋体"/>
          <w:lang w:eastAsia="en-US"/>
        </w:rPr>
        <w:t xml:space="preserve"> Ack</w:t>
      </w:r>
      <w:r w:rsidR="00997F80">
        <w:rPr>
          <w:rFonts w:eastAsia="宋体"/>
          <w:lang w:eastAsia="en-US"/>
        </w:rPr>
        <w:t xml:space="preserve"> (target XnAP </w:t>
      </w:r>
      <w:r w:rsidR="00D679DC">
        <w:rPr>
          <w:rFonts w:eastAsia="宋体"/>
          <w:lang w:eastAsia="en-US"/>
        </w:rPr>
        <w:t xml:space="preserve">UE </w:t>
      </w:r>
      <w:r w:rsidR="00997F80">
        <w:rPr>
          <w:rFonts w:eastAsia="宋体"/>
          <w:lang w:eastAsia="en-US"/>
        </w:rPr>
        <w:t xml:space="preserve">ID: </w:t>
      </w:r>
      <w:r w:rsidR="00464D81">
        <w:rPr>
          <w:rFonts w:eastAsia="宋体"/>
          <w:lang w:eastAsia="en-US"/>
        </w:rPr>
        <w:t>3</w:t>
      </w:r>
      <w:r w:rsidR="00997F80">
        <w:rPr>
          <w:rFonts w:eastAsia="宋体"/>
          <w:lang w:eastAsia="en-US"/>
        </w:rPr>
        <w:t>00)</w:t>
      </w:r>
      <w:r w:rsidRPr="00015D77">
        <w:rPr>
          <w:rFonts w:eastAsia="宋体"/>
          <w:lang w:eastAsia="en-US"/>
        </w:rPr>
        <w:t xml:space="preserve"> from </w:t>
      </w:r>
      <w:r w:rsidR="008243B5">
        <w:rPr>
          <w:rFonts w:eastAsia="宋体"/>
          <w:lang w:eastAsia="en-US"/>
        </w:rPr>
        <w:t>IAB-donor3</w:t>
      </w:r>
      <w:r w:rsidRPr="00015D77">
        <w:rPr>
          <w:rFonts w:eastAsia="宋体"/>
          <w:lang w:eastAsia="en-US"/>
        </w:rPr>
        <w:t xml:space="preserve">. </w:t>
      </w:r>
    </w:p>
    <w:p w14:paraId="62424548" w14:textId="77777777" w:rsidR="008C35A2" w:rsidRPr="00015D77" w:rsidRDefault="008C35A2" w:rsidP="008C35A2">
      <w:pPr>
        <w:pStyle w:val="ListParagraph"/>
        <w:overflowPunct/>
        <w:autoSpaceDE/>
        <w:autoSpaceDN/>
        <w:adjustRightInd/>
        <w:spacing w:after="0"/>
        <w:ind w:left="465"/>
        <w:jc w:val="left"/>
        <w:textAlignment w:val="auto"/>
        <w:rPr>
          <w:rFonts w:eastAsia="宋体"/>
          <w:lang w:eastAsia="en-US"/>
        </w:rPr>
      </w:pPr>
    </w:p>
    <w:p w14:paraId="2A895210" w14:textId="5B598DFB" w:rsidR="00E261B5" w:rsidRDefault="00E261B5" w:rsidP="00E261B5">
      <w:pPr>
        <w:pStyle w:val="ListParagraph"/>
        <w:numPr>
          <w:ilvl w:val="0"/>
          <w:numId w:val="35"/>
        </w:numPr>
        <w:overflowPunct/>
        <w:autoSpaceDE/>
        <w:autoSpaceDN/>
        <w:adjustRightInd/>
        <w:spacing w:after="0"/>
        <w:jc w:val="left"/>
        <w:textAlignment w:val="auto"/>
        <w:rPr>
          <w:rFonts w:eastAsia="宋体"/>
          <w:u w:val="single"/>
          <w:lang w:eastAsia="en-US"/>
        </w:rPr>
      </w:pPr>
      <w:r w:rsidRPr="005E4E33">
        <w:rPr>
          <w:rFonts w:eastAsia="宋体" w:hint="eastAsia"/>
          <w:u w:val="single"/>
          <w:lang w:eastAsia="en-US"/>
        </w:rPr>
        <w:t>S</w:t>
      </w:r>
      <w:r w:rsidRPr="005E4E33">
        <w:rPr>
          <w:rFonts w:eastAsia="宋体"/>
          <w:u w:val="single"/>
          <w:lang w:eastAsia="en-US"/>
        </w:rPr>
        <w:t xml:space="preserve">tep 4: </w:t>
      </w:r>
      <w:r w:rsidR="00113F81">
        <w:rPr>
          <w:rFonts w:eastAsia="宋体"/>
          <w:u w:val="single"/>
          <w:lang w:eastAsia="en-US"/>
        </w:rPr>
        <w:t>IAB-donor2</w:t>
      </w:r>
      <w:r w:rsidRPr="005E4E33">
        <w:rPr>
          <w:rFonts w:eastAsia="宋体"/>
          <w:u w:val="single"/>
          <w:lang w:eastAsia="en-US"/>
        </w:rPr>
        <w:t xml:space="preserve"> informs </w:t>
      </w:r>
      <w:r w:rsidR="00113F81">
        <w:rPr>
          <w:rFonts w:eastAsia="宋体"/>
          <w:u w:val="single"/>
          <w:lang w:eastAsia="en-US"/>
        </w:rPr>
        <w:t xml:space="preserve">IAB-donor1 </w:t>
      </w:r>
      <w:r w:rsidRPr="005E4E33">
        <w:rPr>
          <w:rFonts w:eastAsia="宋体"/>
          <w:u w:val="single"/>
          <w:lang w:eastAsia="en-US"/>
        </w:rPr>
        <w:t xml:space="preserve">for the upcoming HO to </w:t>
      </w:r>
      <w:r w:rsidR="008243B5">
        <w:rPr>
          <w:rFonts w:eastAsia="宋体"/>
          <w:u w:val="single"/>
          <w:lang w:eastAsia="en-US"/>
        </w:rPr>
        <w:t>IAB-donor3</w:t>
      </w:r>
      <w:r w:rsidRPr="005E4E33">
        <w:rPr>
          <w:rFonts w:eastAsia="宋体"/>
          <w:u w:val="single"/>
          <w:lang w:eastAsia="en-US"/>
        </w:rPr>
        <w:t xml:space="preserve">. </w:t>
      </w:r>
    </w:p>
    <w:p w14:paraId="0570460F" w14:textId="77777777" w:rsidR="00936209" w:rsidRPr="005E4E33" w:rsidRDefault="00936209" w:rsidP="00936209">
      <w:pPr>
        <w:pStyle w:val="ListParagraph"/>
        <w:overflowPunct/>
        <w:autoSpaceDE/>
        <w:autoSpaceDN/>
        <w:adjustRightInd/>
        <w:spacing w:after="0"/>
        <w:ind w:left="465"/>
        <w:jc w:val="left"/>
        <w:textAlignment w:val="auto"/>
        <w:rPr>
          <w:rFonts w:eastAsia="宋体"/>
          <w:u w:val="single"/>
          <w:lang w:eastAsia="en-US"/>
        </w:rPr>
      </w:pPr>
    </w:p>
    <w:p w14:paraId="711DFC76" w14:textId="3979689D" w:rsidR="00E261B5" w:rsidRPr="00015D77" w:rsidRDefault="00E261B5" w:rsidP="00E261B5">
      <w:pPr>
        <w:pStyle w:val="ListParagraph"/>
        <w:numPr>
          <w:ilvl w:val="0"/>
          <w:numId w:val="35"/>
        </w:numPr>
        <w:overflowPunct/>
        <w:autoSpaceDE/>
        <w:autoSpaceDN/>
        <w:adjustRightInd/>
        <w:spacing w:after="0"/>
        <w:jc w:val="left"/>
        <w:textAlignment w:val="auto"/>
        <w:rPr>
          <w:rFonts w:eastAsia="宋体"/>
          <w:lang w:eastAsia="en-US"/>
        </w:rPr>
      </w:pPr>
      <w:r>
        <w:rPr>
          <w:rFonts w:eastAsia="宋体" w:hint="eastAsia"/>
          <w:lang w:eastAsia="en-US"/>
        </w:rPr>
        <w:t>S</w:t>
      </w:r>
      <w:r>
        <w:rPr>
          <w:rFonts w:eastAsia="宋体"/>
          <w:lang w:eastAsia="en-US"/>
        </w:rPr>
        <w:t xml:space="preserve">tep 5: </w:t>
      </w:r>
      <w:r w:rsidR="00113F81">
        <w:rPr>
          <w:rFonts w:eastAsia="宋体"/>
          <w:lang w:eastAsia="en-US"/>
        </w:rPr>
        <w:t>IAB-donor2</w:t>
      </w:r>
      <w:r w:rsidRPr="00015D77">
        <w:rPr>
          <w:rFonts w:eastAsia="宋体"/>
          <w:lang w:eastAsia="en-US"/>
        </w:rPr>
        <w:t xml:space="preserve"> send HOCommand to IAB-MT</w:t>
      </w:r>
    </w:p>
    <w:p w14:paraId="266B341A" w14:textId="4D6332D9" w:rsidR="00E261B5" w:rsidRDefault="00E261B5" w:rsidP="00E261B5">
      <w:pPr>
        <w:pStyle w:val="ListParagraph"/>
        <w:numPr>
          <w:ilvl w:val="0"/>
          <w:numId w:val="35"/>
        </w:numPr>
        <w:overflowPunct/>
        <w:autoSpaceDE/>
        <w:autoSpaceDN/>
        <w:adjustRightInd/>
        <w:spacing w:after="0"/>
        <w:jc w:val="left"/>
        <w:textAlignment w:val="auto"/>
        <w:rPr>
          <w:rFonts w:eastAsia="宋体"/>
          <w:lang w:eastAsia="en-US"/>
        </w:rPr>
      </w:pPr>
      <w:r>
        <w:rPr>
          <w:rFonts w:eastAsia="宋体"/>
          <w:lang w:eastAsia="en-US"/>
        </w:rPr>
        <w:t xml:space="preserve">Step 6: </w:t>
      </w:r>
      <w:r w:rsidRPr="00015D77">
        <w:rPr>
          <w:rFonts w:eastAsia="宋体"/>
          <w:lang w:eastAsia="en-US"/>
        </w:rPr>
        <w:t xml:space="preserve">IAB-MT detach from </w:t>
      </w:r>
      <w:r w:rsidR="00113F81">
        <w:rPr>
          <w:rFonts w:eastAsia="宋体"/>
          <w:lang w:eastAsia="en-US"/>
        </w:rPr>
        <w:t>IAB-donor2</w:t>
      </w:r>
      <w:r w:rsidRPr="00015D77">
        <w:rPr>
          <w:rFonts w:eastAsia="宋体"/>
          <w:lang w:eastAsia="en-US"/>
        </w:rPr>
        <w:t xml:space="preserve"> and connect with </w:t>
      </w:r>
      <w:r w:rsidR="008243B5">
        <w:rPr>
          <w:rFonts w:eastAsia="宋体"/>
          <w:lang w:eastAsia="en-US"/>
        </w:rPr>
        <w:t>IAB-donor3</w:t>
      </w:r>
      <w:r w:rsidRPr="00015D77">
        <w:rPr>
          <w:rFonts w:eastAsia="宋体"/>
          <w:lang w:eastAsia="en-US"/>
        </w:rPr>
        <w:t>.</w:t>
      </w:r>
    </w:p>
    <w:p w14:paraId="79BA9F63" w14:textId="0B3AFA49" w:rsidR="00E261B5" w:rsidRPr="00015D77" w:rsidRDefault="00113F81" w:rsidP="00E261B5">
      <w:pPr>
        <w:pStyle w:val="ListParagraph"/>
        <w:overflowPunct/>
        <w:autoSpaceDE/>
        <w:autoSpaceDN/>
        <w:adjustRightInd/>
        <w:spacing w:after="0"/>
        <w:ind w:left="465"/>
        <w:jc w:val="left"/>
        <w:textAlignment w:val="auto"/>
        <w:rPr>
          <w:rFonts w:eastAsia="宋体"/>
          <w:lang w:eastAsia="en-US"/>
        </w:rPr>
      </w:pPr>
      <w:r>
        <w:rPr>
          <w:rFonts w:eastAsia="宋体"/>
          <w:lang w:eastAsia="en-US"/>
        </w:rPr>
        <w:t>IAB-donor2</w:t>
      </w:r>
      <w:r w:rsidR="00E261B5">
        <w:rPr>
          <w:rFonts w:eastAsia="宋体"/>
          <w:lang w:eastAsia="en-US"/>
        </w:rPr>
        <w:t xml:space="preserve"> can release the context for the IAB when no further data is routed via </w:t>
      </w:r>
      <w:r>
        <w:rPr>
          <w:rFonts w:eastAsia="宋体"/>
          <w:lang w:eastAsia="en-US"/>
        </w:rPr>
        <w:t>IAB-donor2</w:t>
      </w:r>
      <w:r w:rsidR="00E261B5">
        <w:rPr>
          <w:rFonts w:eastAsia="宋体"/>
          <w:lang w:eastAsia="en-US"/>
        </w:rPr>
        <w:t xml:space="preserve">’s topology. </w:t>
      </w:r>
    </w:p>
    <w:p w14:paraId="07817FEC" w14:textId="05590987" w:rsidR="00E261B5" w:rsidRPr="00015D77" w:rsidRDefault="00E261B5" w:rsidP="00E261B5">
      <w:pPr>
        <w:pStyle w:val="ListParagraph"/>
        <w:numPr>
          <w:ilvl w:val="0"/>
          <w:numId w:val="35"/>
        </w:numPr>
        <w:overflowPunct/>
        <w:autoSpaceDE/>
        <w:autoSpaceDN/>
        <w:adjustRightInd/>
        <w:spacing w:after="0"/>
        <w:jc w:val="left"/>
        <w:textAlignment w:val="auto"/>
        <w:rPr>
          <w:rFonts w:eastAsia="宋体"/>
          <w:lang w:eastAsia="en-US"/>
        </w:rPr>
      </w:pPr>
      <w:r>
        <w:rPr>
          <w:rFonts w:eastAsia="宋体" w:hint="eastAsia"/>
          <w:lang w:eastAsia="en-US"/>
        </w:rPr>
        <w:t>S</w:t>
      </w:r>
      <w:r>
        <w:rPr>
          <w:rFonts w:eastAsia="宋体"/>
          <w:lang w:eastAsia="en-US"/>
        </w:rPr>
        <w:t xml:space="preserve">tep 7: </w:t>
      </w:r>
      <w:r w:rsidRPr="00015D77">
        <w:rPr>
          <w:rFonts w:eastAsia="宋体"/>
          <w:lang w:eastAsia="en-US"/>
        </w:rPr>
        <w:t xml:space="preserve">IAB-DU inform </w:t>
      </w:r>
      <w:r w:rsidR="00113F81">
        <w:rPr>
          <w:rFonts w:eastAsia="宋体"/>
          <w:lang w:eastAsia="en-US"/>
        </w:rPr>
        <w:t xml:space="preserve">IAB-donor1 </w:t>
      </w:r>
      <w:r w:rsidRPr="00015D77">
        <w:rPr>
          <w:rFonts w:eastAsia="宋体"/>
          <w:lang w:eastAsia="en-US"/>
        </w:rPr>
        <w:t>for the new TNL address.</w:t>
      </w:r>
      <w:r>
        <w:rPr>
          <w:rFonts w:eastAsia="宋体"/>
          <w:lang w:eastAsia="en-US"/>
        </w:rPr>
        <w:t xml:space="preserve"> F1-C is migrated to </w:t>
      </w:r>
      <w:r w:rsidR="008243B5">
        <w:rPr>
          <w:rFonts w:eastAsia="宋体"/>
          <w:lang w:eastAsia="en-US"/>
        </w:rPr>
        <w:t>IAB-donor3</w:t>
      </w:r>
      <w:r>
        <w:rPr>
          <w:rFonts w:eastAsia="宋体"/>
          <w:lang w:eastAsia="en-US"/>
        </w:rPr>
        <w:t>’s topology.</w:t>
      </w:r>
    </w:p>
    <w:p w14:paraId="0E152407" w14:textId="0011FA52" w:rsidR="00E261B5" w:rsidRPr="00015D77" w:rsidRDefault="00E261B5" w:rsidP="00E261B5">
      <w:pPr>
        <w:pStyle w:val="ListParagraph"/>
        <w:numPr>
          <w:ilvl w:val="0"/>
          <w:numId w:val="35"/>
        </w:numPr>
        <w:overflowPunct/>
        <w:autoSpaceDE/>
        <w:autoSpaceDN/>
        <w:adjustRightInd/>
        <w:spacing w:after="0"/>
        <w:jc w:val="left"/>
        <w:textAlignment w:val="auto"/>
        <w:rPr>
          <w:rFonts w:eastAsia="宋体"/>
          <w:lang w:eastAsia="en-US"/>
        </w:rPr>
      </w:pPr>
      <w:r>
        <w:rPr>
          <w:rFonts w:eastAsia="宋体"/>
          <w:lang w:eastAsia="en-US"/>
        </w:rPr>
        <w:t xml:space="preserve">Step 8: </w:t>
      </w:r>
      <w:r w:rsidR="00113F81">
        <w:rPr>
          <w:rFonts w:eastAsia="宋体"/>
          <w:lang w:eastAsia="en-US"/>
        </w:rPr>
        <w:t xml:space="preserve">IAB-donor1 </w:t>
      </w:r>
      <w:r>
        <w:rPr>
          <w:rFonts w:eastAsia="宋体"/>
          <w:lang w:eastAsia="en-US"/>
        </w:rPr>
        <w:t>initiate the Xn I</w:t>
      </w:r>
      <w:r w:rsidRPr="00015D77">
        <w:rPr>
          <w:rFonts w:eastAsia="宋体"/>
          <w:lang w:eastAsia="en-US"/>
        </w:rPr>
        <w:t xml:space="preserve">AB Transport Migration </w:t>
      </w:r>
      <w:r>
        <w:rPr>
          <w:rFonts w:eastAsia="宋体"/>
          <w:lang w:eastAsia="en-US"/>
        </w:rPr>
        <w:t>M</w:t>
      </w:r>
      <w:r w:rsidRPr="00015D77">
        <w:rPr>
          <w:rFonts w:eastAsia="宋体"/>
          <w:lang w:eastAsia="en-US"/>
        </w:rPr>
        <w:t xml:space="preserve">anagement Request </w:t>
      </w:r>
      <w:r>
        <w:rPr>
          <w:rFonts w:eastAsia="宋体"/>
          <w:lang w:eastAsia="en-US"/>
        </w:rPr>
        <w:t xml:space="preserve">procedure to move the offloaded traffic to </w:t>
      </w:r>
      <w:r w:rsidR="008243B5">
        <w:rPr>
          <w:rFonts w:eastAsia="宋体"/>
          <w:lang w:eastAsia="en-US"/>
        </w:rPr>
        <w:t>IAB-donor3</w:t>
      </w:r>
      <w:r w:rsidRPr="00015D77">
        <w:rPr>
          <w:rFonts w:eastAsia="宋体"/>
          <w:lang w:eastAsia="en-US"/>
        </w:rPr>
        <w:t>.</w:t>
      </w:r>
    </w:p>
    <w:p w14:paraId="5C13E939" w14:textId="7F4ED911" w:rsidR="00E261B5" w:rsidRDefault="00E261B5" w:rsidP="00E261B5">
      <w:pPr>
        <w:pStyle w:val="ListParagraph"/>
        <w:numPr>
          <w:ilvl w:val="0"/>
          <w:numId w:val="35"/>
        </w:numPr>
        <w:overflowPunct/>
        <w:autoSpaceDE/>
        <w:autoSpaceDN/>
        <w:adjustRightInd/>
        <w:spacing w:after="0"/>
        <w:jc w:val="left"/>
        <w:textAlignment w:val="auto"/>
        <w:rPr>
          <w:rFonts w:eastAsia="宋体"/>
          <w:lang w:eastAsia="en-US"/>
        </w:rPr>
      </w:pPr>
      <w:r>
        <w:rPr>
          <w:rFonts w:eastAsia="宋体" w:hint="eastAsia"/>
          <w:lang w:eastAsia="en-US"/>
        </w:rPr>
        <w:t>S</w:t>
      </w:r>
      <w:r>
        <w:rPr>
          <w:rFonts w:eastAsia="宋体"/>
          <w:lang w:eastAsia="en-US"/>
        </w:rPr>
        <w:t xml:space="preserve">tep 9: </w:t>
      </w:r>
      <w:r w:rsidR="008243B5">
        <w:rPr>
          <w:rFonts w:eastAsia="宋体"/>
          <w:lang w:eastAsia="en-US"/>
        </w:rPr>
        <w:t>IAB-donor3</w:t>
      </w:r>
      <w:r w:rsidRPr="00015D77">
        <w:rPr>
          <w:rFonts w:eastAsia="宋体"/>
          <w:lang w:eastAsia="en-US"/>
        </w:rPr>
        <w:t xml:space="preserve"> reply with the L2 transport info for the offloaded traffic.</w:t>
      </w:r>
    </w:p>
    <w:p w14:paraId="02E710E5" w14:textId="509B1880" w:rsidR="00E261B5" w:rsidRDefault="00E261B5" w:rsidP="00E261B5">
      <w:pPr>
        <w:pStyle w:val="ListParagraph"/>
        <w:numPr>
          <w:ilvl w:val="0"/>
          <w:numId w:val="35"/>
        </w:numPr>
        <w:overflowPunct/>
        <w:autoSpaceDE/>
        <w:autoSpaceDN/>
        <w:adjustRightInd/>
        <w:spacing w:after="0"/>
        <w:jc w:val="left"/>
        <w:textAlignment w:val="auto"/>
        <w:rPr>
          <w:rFonts w:eastAsia="宋体"/>
          <w:lang w:eastAsia="en-US"/>
        </w:rPr>
      </w:pPr>
      <w:r>
        <w:rPr>
          <w:rFonts w:eastAsia="宋体"/>
          <w:lang w:eastAsia="en-US"/>
        </w:rPr>
        <w:t xml:space="preserve">Step 10: the F1-U is migrated to </w:t>
      </w:r>
      <w:r w:rsidR="008243B5">
        <w:rPr>
          <w:rFonts w:eastAsia="宋体"/>
          <w:lang w:eastAsia="en-US"/>
        </w:rPr>
        <w:t>IAB-donor3</w:t>
      </w:r>
      <w:r>
        <w:rPr>
          <w:rFonts w:eastAsia="宋体"/>
          <w:lang w:eastAsia="en-US"/>
        </w:rPr>
        <w:t xml:space="preserve">’s topology. </w:t>
      </w:r>
    </w:p>
    <w:p w14:paraId="757FC4DB" w14:textId="77777777" w:rsidR="00E261B5" w:rsidRDefault="00E261B5" w:rsidP="00E261B5">
      <w:pPr>
        <w:overflowPunct/>
        <w:autoSpaceDE/>
        <w:autoSpaceDN/>
        <w:adjustRightInd/>
        <w:spacing w:after="0"/>
        <w:jc w:val="left"/>
        <w:textAlignment w:val="auto"/>
        <w:rPr>
          <w:rFonts w:eastAsia="宋体"/>
          <w:lang w:eastAsia="en-US"/>
        </w:rPr>
      </w:pPr>
    </w:p>
    <w:p w14:paraId="7D2657ED" w14:textId="257E8BF2" w:rsidR="00E261B5" w:rsidRDefault="00E261B5" w:rsidP="00E261B5">
      <w:pPr>
        <w:overflowPunct/>
        <w:autoSpaceDE/>
        <w:autoSpaceDN/>
        <w:adjustRightInd/>
        <w:spacing w:after="0"/>
        <w:jc w:val="left"/>
        <w:textAlignment w:val="auto"/>
        <w:rPr>
          <w:rFonts w:eastAsia="宋体"/>
          <w:lang w:eastAsia="en-US"/>
        </w:rPr>
      </w:pPr>
      <w:r>
        <w:rPr>
          <w:rFonts w:eastAsia="宋体"/>
          <w:lang w:eastAsia="en-US"/>
        </w:rPr>
        <w:t xml:space="preserve">The consecutive partial migration can be supported with little enhancements to XnAP. The possible enhancement is for </w:t>
      </w:r>
      <w:r w:rsidR="00C03268">
        <w:rPr>
          <w:rFonts w:eastAsia="宋体"/>
          <w:lang w:eastAsia="en-US"/>
        </w:rPr>
        <w:t>IAB-d</w:t>
      </w:r>
      <w:r>
        <w:rPr>
          <w:rFonts w:eastAsia="宋体"/>
          <w:lang w:eastAsia="en-US"/>
        </w:rPr>
        <w:t xml:space="preserve">onor2 to informs </w:t>
      </w:r>
      <w:r w:rsidR="00113F81">
        <w:rPr>
          <w:rFonts w:eastAsia="宋体"/>
          <w:lang w:eastAsia="en-US"/>
        </w:rPr>
        <w:t xml:space="preserve">IAB-donor1 </w:t>
      </w:r>
      <w:r>
        <w:rPr>
          <w:rFonts w:eastAsia="宋体"/>
          <w:lang w:eastAsia="en-US"/>
        </w:rPr>
        <w:t xml:space="preserve">for the upcoming HO to </w:t>
      </w:r>
      <w:r w:rsidR="008243B5">
        <w:rPr>
          <w:rFonts w:eastAsia="宋体"/>
          <w:lang w:eastAsia="en-US"/>
        </w:rPr>
        <w:t>IAB-donor3</w:t>
      </w:r>
      <w:r>
        <w:rPr>
          <w:rFonts w:eastAsia="宋体"/>
          <w:lang w:eastAsia="en-US"/>
        </w:rPr>
        <w:t xml:space="preserve"> (Step 4). </w:t>
      </w:r>
    </w:p>
    <w:p w14:paraId="272D3B2C" w14:textId="77777777" w:rsidR="00E261B5" w:rsidRDefault="00E261B5" w:rsidP="00E261B5">
      <w:pPr>
        <w:overflowPunct/>
        <w:autoSpaceDE/>
        <w:autoSpaceDN/>
        <w:adjustRightInd/>
        <w:spacing w:after="0"/>
        <w:jc w:val="left"/>
        <w:textAlignment w:val="auto"/>
        <w:rPr>
          <w:rFonts w:eastAsia="宋体"/>
          <w:lang w:eastAsia="en-US"/>
        </w:rPr>
      </w:pPr>
    </w:p>
    <w:p w14:paraId="65A24D27" w14:textId="43080ED1" w:rsidR="00E261B5" w:rsidRDefault="00E261B5" w:rsidP="00E261B5">
      <w:pPr>
        <w:overflowPunct/>
        <w:autoSpaceDE/>
        <w:autoSpaceDN/>
        <w:adjustRightInd/>
        <w:spacing w:after="0"/>
        <w:jc w:val="left"/>
        <w:textAlignment w:val="auto"/>
      </w:pPr>
      <w:r>
        <w:t>Last RAN3 meeting agreed</w:t>
      </w:r>
    </w:p>
    <w:p w14:paraId="4C0960B0" w14:textId="77777777" w:rsidR="00E261B5" w:rsidRPr="00E261B5" w:rsidRDefault="00E261B5" w:rsidP="00E261B5">
      <w:pPr>
        <w:widowControl w:val="0"/>
        <w:ind w:left="562"/>
        <w:rPr>
          <w:rFonts w:ascii="Calibri" w:hAnsi="Calibri" w:cs="Calibri"/>
          <w:b/>
          <w:color w:val="008000"/>
        </w:rPr>
      </w:pPr>
      <w:r w:rsidRPr="00E261B5">
        <w:rPr>
          <w:rFonts w:ascii="Calibri" w:hAnsi="Calibri" w:cs="Calibri"/>
          <w:b/>
          <w:color w:val="008000"/>
        </w:rPr>
        <w:t xml:space="preserve">For inter-donor partial migration, the donor CU serving the mIAB-DU is informed about the mIAB-MT HO. </w:t>
      </w:r>
      <w:r w:rsidRPr="00E261B5">
        <w:rPr>
          <w:rFonts w:ascii="Calibri" w:hAnsi="Calibri" w:cs="Calibri"/>
          <w:b/>
          <w:color w:val="0000FF"/>
        </w:rPr>
        <w:t>FFS on signalling details concerning the indication.</w:t>
      </w:r>
    </w:p>
    <w:p w14:paraId="1ECF1F2C" w14:textId="77777777" w:rsidR="00E261B5" w:rsidRPr="00E261B5" w:rsidRDefault="00E261B5" w:rsidP="00E261B5">
      <w:pPr>
        <w:widowControl w:val="0"/>
        <w:ind w:left="562"/>
        <w:rPr>
          <w:rFonts w:ascii="Calibri" w:hAnsi="Calibri" w:cs="Calibri"/>
          <w:b/>
          <w:color w:val="008000"/>
        </w:rPr>
      </w:pPr>
      <w:r w:rsidRPr="00E261B5">
        <w:rPr>
          <w:rFonts w:ascii="Calibri" w:hAnsi="Calibri" w:cs="Calibri"/>
          <w:b/>
          <w:color w:val="008000"/>
        </w:rPr>
        <w:lastRenderedPageBreak/>
        <w:t>WA: The source donor CU for the mIAB-MT HO provides to the donor CU serving the mIAB-DU at least the:</w:t>
      </w:r>
    </w:p>
    <w:p w14:paraId="0AEBAFA8" w14:textId="77777777" w:rsidR="00E261B5" w:rsidRPr="00E261B5" w:rsidRDefault="00E261B5" w:rsidP="00E261B5">
      <w:pPr>
        <w:widowControl w:val="0"/>
        <w:ind w:left="562"/>
        <w:rPr>
          <w:rFonts w:ascii="Calibri" w:hAnsi="Calibri" w:cs="Calibri"/>
          <w:b/>
          <w:color w:val="008000"/>
        </w:rPr>
      </w:pPr>
      <w:r w:rsidRPr="00E261B5">
        <w:rPr>
          <w:rFonts w:ascii="Calibri" w:hAnsi="Calibri" w:cs="Calibri"/>
          <w:b/>
          <w:color w:val="008000"/>
        </w:rPr>
        <w:t>•</w:t>
      </w:r>
      <w:r w:rsidRPr="00E261B5">
        <w:rPr>
          <w:rFonts w:ascii="Calibri" w:hAnsi="Calibri" w:cs="Calibri"/>
          <w:b/>
          <w:color w:val="008000"/>
        </w:rPr>
        <w:tab/>
        <w:t>gNB ID of the target donor CU for the mIAB-MT HO.</w:t>
      </w:r>
    </w:p>
    <w:p w14:paraId="0EBE7D40" w14:textId="77777777" w:rsidR="00E261B5" w:rsidRPr="00E261B5" w:rsidRDefault="00E261B5" w:rsidP="00E261B5">
      <w:pPr>
        <w:widowControl w:val="0"/>
        <w:ind w:left="562"/>
        <w:rPr>
          <w:rFonts w:ascii="Calibri" w:hAnsi="Calibri" w:cs="Calibri"/>
          <w:b/>
          <w:color w:val="008000"/>
        </w:rPr>
      </w:pPr>
      <w:r w:rsidRPr="00E261B5">
        <w:rPr>
          <w:rFonts w:ascii="Calibri" w:hAnsi="Calibri" w:cs="Calibri"/>
          <w:b/>
          <w:color w:val="008000"/>
        </w:rPr>
        <w:t>•</w:t>
      </w:r>
      <w:r w:rsidRPr="00E261B5">
        <w:rPr>
          <w:rFonts w:ascii="Calibri" w:hAnsi="Calibri" w:cs="Calibri"/>
          <w:b/>
          <w:color w:val="008000"/>
        </w:rPr>
        <w:tab/>
        <w:t>ID(s) of the mIAB-MT. How the mIAB-MT ID is maintained across migrations needs to be further discussed</w:t>
      </w:r>
    </w:p>
    <w:p w14:paraId="3CD7C316" w14:textId="77777777" w:rsidR="00E261B5" w:rsidRPr="00E261B5" w:rsidRDefault="00E261B5" w:rsidP="00E261B5">
      <w:pPr>
        <w:widowControl w:val="0"/>
        <w:ind w:left="562"/>
        <w:rPr>
          <w:rFonts w:ascii="Calibri" w:hAnsi="Calibri" w:cs="Calibri"/>
          <w:b/>
          <w:color w:val="008000"/>
        </w:rPr>
      </w:pPr>
      <w:r w:rsidRPr="00E261B5">
        <w:rPr>
          <w:rFonts w:ascii="Calibri" w:hAnsi="Calibri" w:cs="Calibri"/>
          <w:b/>
          <w:color w:val="008000"/>
        </w:rPr>
        <w:t>•</w:t>
      </w:r>
      <w:r w:rsidRPr="00E261B5">
        <w:rPr>
          <w:rFonts w:ascii="Calibri" w:hAnsi="Calibri" w:cs="Calibri"/>
          <w:b/>
          <w:color w:val="008000"/>
        </w:rPr>
        <w:tab/>
        <w:t xml:space="preserve">FFS: the TNL address of the target donor CU for the mIAB-MT HO. </w:t>
      </w:r>
    </w:p>
    <w:p w14:paraId="3C63FDBB" w14:textId="77777777" w:rsidR="00E261B5" w:rsidRPr="00E261B5" w:rsidRDefault="00E261B5" w:rsidP="00E261B5">
      <w:pPr>
        <w:widowControl w:val="0"/>
        <w:ind w:left="562"/>
        <w:rPr>
          <w:rFonts w:ascii="Calibri" w:hAnsi="Calibri" w:cs="Calibri"/>
          <w:b/>
          <w:color w:val="0000FF"/>
        </w:rPr>
      </w:pPr>
      <w:r w:rsidRPr="00E261B5">
        <w:rPr>
          <w:rFonts w:ascii="Calibri" w:hAnsi="Calibri" w:cs="Calibri"/>
          <w:b/>
          <w:color w:val="0000FF"/>
        </w:rPr>
        <w:t>It can be further discussed which node provides information to the donor CU serving the mIAB-DU</w:t>
      </w:r>
    </w:p>
    <w:p w14:paraId="6309C77F" w14:textId="77777777" w:rsidR="00E261B5" w:rsidRPr="003641FA" w:rsidRDefault="00E261B5" w:rsidP="00E261B5">
      <w:pPr>
        <w:widowControl w:val="0"/>
        <w:ind w:left="562"/>
        <w:rPr>
          <w:rFonts w:ascii="Calibri" w:hAnsi="Calibri" w:cs="Calibri"/>
          <w:b/>
          <w:color w:val="008000"/>
          <w:lang w:val="en-US"/>
        </w:rPr>
      </w:pPr>
      <w:r w:rsidRPr="00E261B5">
        <w:rPr>
          <w:rFonts w:ascii="Calibri" w:hAnsi="Calibri" w:cs="Calibri"/>
          <w:b/>
          <w:color w:val="008000"/>
        </w:rPr>
        <w:t>For partial migration of mIAB-node, the donor CU serving the mIAB-DU and the target donor CU for the mIAB-MT HO can directly exchange Xn IAB Transport Migration messages, in case direct Xn connectivity exists (or is established) between the two donor CUs.</w:t>
      </w:r>
    </w:p>
    <w:p w14:paraId="093747CE" w14:textId="77777777" w:rsidR="00E261B5" w:rsidRPr="00E261B5" w:rsidRDefault="00E261B5" w:rsidP="00E261B5">
      <w:pPr>
        <w:widowControl w:val="0"/>
        <w:ind w:left="562"/>
        <w:rPr>
          <w:rFonts w:ascii="Calibri" w:hAnsi="Calibri" w:cs="Calibri"/>
          <w:b/>
          <w:color w:val="008000"/>
        </w:rPr>
      </w:pPr>
      <w:r w:rsidRPr="00E261B5">
        <w:rPr>
          <w:rFonts w:ascii="Calibri" w:hAnsi="Calibri" w:cs="Calibri"/>
          <w:b/>
          <w:color w:val="008000"/>
        </w:rPr>
        <w:t>Focus first on the scenarios where Xn and IP connectivity are available between the source and target donors for IAB-MT HO and mIAB-DU migration.</w:t>
      </w:r>
    </w:p>
    <w:p w14:paraId="58B951C7" w14:textId="77777777" w:rsidR="00E261B5" w:rsidRDefault="00E261B5" w:rsidP="00E261B5"/>
    <w:p w14:paraId="63978FA8" w14:textId="77777777" w:rsidR="005A3CA8" w:rsidRDefault="00E261B5" w:rsidP="005A3CA8">
      <w:r>
        <w:t xml:space="preserve">With above RAN3 agreement, the IAB-donor1-CU is informed about IAB-MT HO from IAB-donor2 to IAB-donor3. </w:t>
      </w:r>
      <w:r w:rsidR="005A3CA8">
        <w:t>IAB-donor2-CU provides information to IAB-donor1-CU about the gNB ID of IAB-donor3-CU, ID of the IAB-MT, etc. A new Xn procedure may need to be introduced.</w:t>
      </w:r>
    </w:p>
    <w:p w14:paraId="379DD4B4" w14:textId="7256B14B" w:rsidR="00BC164C" w:rsidRPr="00603432" w:rsidRDefault="00BC164C" w:rsidP="00BC164C">
      <w:pPr>
        <w:rPr>
          <w:b/>
          <w:bCs/>
        </w:rPr>
      </w:pPr>
    </w:p>
    <w:p w14:paraId="71C9B79A" w14:textId="0C85E49A" w:rsidR="001831E3" w:rsidRDefault="009A4EFA" w:rsidP="00BC164C">
      <w:r>
        <w:t>For the ID of the IAB-MT, the source IAB-donor-CU and target IAB-donor-CU maintains t</w:t>
      </w:r>
      <w:r w:rsidRPr="009A4EFA">
        <w:t>he XnAP UE IDs of the migrating node as long as the target path is used for transport of traffic between the migrating node and the source IAB-donor-CU.</w:t>
      </w:r>
      <w:r w:rsidR="00113F81">
        <w:t xml:space="preserve"> </w:t>
      </w:r>
      <w:r w:rsidR="001831E3">
        <w:t xml:space="preserve">In consecutive partial migration, </w:t>
      </w:r>
      <w:r w:rsidR="008E4D03">
        <w:t>the XnAP UE IDs of the migration node</w:t>
      </w:r>
      <w:r w:rsidR="001831E3">
        <w:t xml:space="preserve"> needs to be maintained in both IAB-donor1 and IAB-donor3. </w:t>
      </w:r>
      <w:r w:rsidR="00625E09">
        <w:t>Last RAN3 meeting</w:t>
      </w:r>
      <w:r w:rsidR="005C7C90">
        <w:t>’s agreement</w:t>
      </w:r>
      <w:r w:rsidR="00625E09">
        <w:t xml:space="preserve"> mainly consider</w:t>
      </w:r>
      <w:r w:rsidR="00383470">
        <w:t>s</w:t>
      </w:r>
      <w:r w:rsidR="00625E09">
        <w:t xml:space="preserve"> the ID information maintained in the IAB-donor1, but </w:t>
      </w:r>
      <w:r w:rsidR="006E66C9">
        <w:t xml:space="preserve">does </w:t>
      </w:r>
      <w:r w:rsidR="00625E09">
        <w:t xml:space="preserve">not cover the information maintained in the IAB-donor3. </w:t>
      </w:r>
    </w:p>
    <w:p w14:paraId="714E7455" w14:textId="5C2E56BE" w:rsidR="00625E09" w:rsidRDefault="00625E09" w:rsidP="00BC164C">
      <w:r>
        <w:t>When the IAB-MT is HO</w:t>
      </w:r>
      <w:r w:rsidR="006E66C9">
        <w:t>’d</w:t>
      </w:r>
      <w:r>
        <w:t xml:space="preserve"> from IAB-donor2 to IAB-donor3, IAB-donor2 need to inform IAB-donor3 about the XnAP UE ID assigned to the IAB-MT by IAB-donor1. </w:t>
      </w:r>
    </w:p>
    <w:p w14:paraId="03F33AEE" w14:textId="7BC73B6C" w:rsidR="00625E09" w:rsidRPr="00625E09" w:rsidRDefault="00625E09" w:rsidP="00BC164C">
      <w:pPr>
        <w:rPr>
          <w:b/>
          <w:bCs/>
        </w:rPr>
      </w:pPr>
      <w:r>
        <w:rPr>
          <w:b/>
          <w:bCs/>
        </w:rPr>
        <w:t>Proposal 1: during the consecutive partial migration, t</w:t>
      </w:r>
      <w:r w:rsidRPr="00625E09">
        <w:rPr>
          <w:b/>
          <w:bCs/>
        </w:rPr>
        <w:t xml:space="preserve">he source donor CU provides to the </w:t>
      </w:r>
      <w:r>
        <w:rPr>
          <w:b/>
          <w:bCs/>
        </w:rPr>
        <w:t xml:space="preserve">target </w:t>
      </w:r>
      <w:r w:rsidRPr="00625E09">
        <w:rPr>
          <w:b/>
          <w:bCs/>
        </w:rPr>
        <w:t xml:space="preserve">donor CU </w:t>
      </w:r>
      <w:r>
        <w:rPr>
          <w:b/>
          <w:bCs/>
        </w:rPr>
        <w:t>about the XnAP UE ID of the IAB-MT assigned by the F1-terminating IAB-donor-CU</w:t>
      </w:r>
      <w:r w:rsidR="00B76F43">
        <w:rPr>
          <w:b/>
          <w:bCs/>
        </w:rPr>
        <w:t xml:space="preserve"> during the Handover preparation procedure. </w:t>
      </w:r>
    </w:p>
    <w:p w14:paraId="336437FF" w14:textId="1A203385" w:rsidR="00625E09" w:rsidRDefault="00625E09" w:rsidP="00BC164C"/>
    <w:p w14:paraId="60653514" w14:textId="706E7FD9" w:rsidR="001539B5" w:rsidRDefault="003C75B3" w:rsidP="00BC164C">
      <w:r>
        <w:t>T</w:t>
      </w:r>
      <w:r w:rsidR="001539B5">
        <w:t>he information provided from the IAB-donor2 to IAB-donro1 need</w:t>
      </w:r>
      <w:r w:rsidR="001447D3">
        <w:t>s</w:t>
      </w:r>
      <w:r w:rsidR="001539B5">
        <w:t xml:space="preserve"> to include the necessary information to identify the target IAB-donor, the ID of the IAB-MT, etc. </w:t>
      </w:r>
      <w:r w:rsidR="001447D3">
        <w:t>The ID of the IAB-MT</w:t>
      </w:r>
      <w:r w:rsidR="001539B5">
        <w:t xml:space="preserve"> can be similar to existing partial migration that XnAP UE ID remains to be used to identify the IAB-MT. </w:t>
      </w:r>
    </w:p>
    <w:p w14:paraId="30A6B24B" w14:textId="4A33AE25" w:rsidR="005B0C76" w:rsidRDefault="000B7F60" w:rsidP="00BC164C">
      <w:r>
        <w:t xml:space="preserve">For the TNL address of target donor CU, </w:t>
      </w:r>
      <w:r w:rsidR="005B0C76">
        <w:t xml:space="preserve">the purpose is to allow donor1 establish Xn with donor3 if Xn </w:t>
      </w:r>
      <w:r w:rsidR="00E00FE7">
        <w:t xml:space="preserve">does not </w:t>
      </w:r>
      <w:r w:rsidR="005B0C76">
        <w:t xml:space="preserve">exist. </w:t>
      </w:r>
      <w:r w:rsidR="00263ED5">
        <w:t xml:space="preserve">This may be </w:t>
      </w:r>
      <w:r w:rsidR="00E62A38">
        <w:t>beneficial, but it may cause additional delay, e.g. due to the SCTP establishment and Xn Setu</w:t>
      </w:r>
      <w:r w:rsidR="00DF3CD5">
        <w:t xml:space="preserve">p. </w:t>
      </w:r>
    </w:p>
    <w:p w14:paraId="6677DA37" w14:textId="77777777" w:rsidR="00807407" w:rsidRDefault="00807407" w:rsidP="00BC164C"/>
    <w:p w14:paraId="055A2B60" w14:textId="7AF777E6" w:rsidR="00B73946" w:rsidRDefault="00B73946" w:rsidP="00BC164C">
      <w:pPr>
        <w:rPr>
          <w:b/>
          <w:bCs/>
        </w:rPr>
      </w:pPr>
      <w:r>
        <w:rPr>
          <w:b/>
          <w:bCs/>
        </w:rPr>
        <w:t>Proposal 2: change the</w:t>
      </w:r>
      <w:r w:rsidR="003D2A08">
        <w:rPr>
          <w:b/>
          <w:bCs/>
        </w:rPr>
        <w:t xml:space="preserve"> following</w:t>
      </w:r>
      <w:r>
        <w:rPr>
          <w:b/>
          <w:bCs/>
        </w:rPr>
        <w:t xml:space="preserve"> WA to an agreement</w:t>
      </w:r>
      <w:r w:rsidR="00FD328A">
        <w:rPr>
          <w:b/>
          <w:bCs/>
        </w:rPr>
        <w:t xml:space="preserve"> and remove FFS</w:t>
      </w:r>
      <w:r>
        <w:rPr>
          <w:b/>
          <w:bCs/>
        </w:rPr>
        <w:t xml:space="preserve">, i.e. </w:t>
      </w:r>
    </w:p>
    <w:p w14:paraId="718B2779" w14:textId="572DBAC6" w:rsidR="00B73946" w:rsidRPr="00B73946" w:rsidRDefault="005D755B" w:rsidP="00B73946">
      <w:pPr>
        <w:widowControl w:val="0"/>
        <w:ind w:left="562"/>
        <w:rPr>
          <w:b/>
          <w:bCs/>
        </w:rPr>
      </w:pPr>
      <w:r>
        <w:rPr>
          <w:b/>
          <w:bCs/>
        </w:rPr>
        <w:t>Introduce a new XnAP procedure to allow t</w:t>
      </w:r>
      <w:r w:rsidR="00B73946" w:rsidRPr="00B73946">
        <w:rPr>
          <w:b/>
          <w:bCs/>
        </w:rPr>
        <w:t xml:space="preserve">he source donor CU for the mIAB-MT HO </w:t>
      </w:r>
      <w:r w:rsidR="435682AA" w:rsidRPr="516FA8A0">
        <w:rPr>
          <w:b/>
          <w:bCs/>
        </w:rPr>
        <w:t xml:space="preserve">to </w:t>
      </w:r>
      <w:r w:rsidR="00B73946" w:rsidRPr="00B73946">
        <w:rPr>
          <w:b/>
          <w:bCs/>
        </w:rPr>
        <w:t>provide to the donor CU serving the mIAB-DU at least the:</w:t>
      </w:r>
    </w:p>
    <w:p w14:paraId="02764346" w14:textId="77777777" w:rsidR="00B73946" w:rsidRPr="00B73946" w:rsidRDefault="00B73946" w:rsidP="00B73946">
      <w:pPr>
        <w:widowControl w:val="0"/>
        <w:ind w:left="562"/>
        <w:rPr>
          <w:b/>
          <w:bCs/>
        </w:rPr>
      </w:pPr>
      <w:r w:rsidRPr="00B73946">
        <w:rPr>
          <w:b/>
          <w:bCs/>
        </w:rPr>
        <w:t>•</w:t>
      </w:r>
      <w:r w:rsidRPr="00B73946">
        <w:rPr>
          <w:b/>
          <w:bCs/>
        </w:rPr>
        <w:tab/>
        <w:t>gNB ID of the target donor CU for the mIAB-MT HO.</w:t>
      </w:r>
    </w:p>
    <w:p w14:paraId="240BD392" w14:textId="5B246C7F" w:rsidR="00B73946" w:rsidRDefault="00B73946" w:rsidP="00B73946">
      <w:pPr>
        <w:widowControl w:val="0"/>
        <w:ind w:left="562"/>
        <w:rPr>
          <w:b/>
          <w:bCs/>
        </w:rPr>
      </w:pPr>
      <w:r w:rsidRPr="00B73946">
        <w:rPr>
          <w:b/>
          <w:bCs/>
        </w:rPr>
        <w:t>•</w:t>
      </w:r>
      <w:r w:rsidRPr="00B73946">
        <w:rPr>
          <w:b/>
          <w:bCs/>
        </w:rPr>
        <w:tab/>
      </w:r>
      <w:r>
        <w:rPr>
          <w:b/>
          <w:bCs/>
        </w:rPr>
        <w:t xml:space="preserve">the XnAP UE ID assigned by the target donor of the </w:t>
      </w:r>
      <w:r w:rsidR="00194E16">
        <w:rPr>
          <w:b/>
          <w:bCs/>
        </w:rPr>
        <w:t>m</w:t>
      </w:r>
      <w:r>
        <w:rPr>
          <w:b/>
          <w:bCs/>
        </w:rPr>
        <w:t>IAB-MT HO</w:t>
      </w:r>
      <w:r w:rsidR="000362A2">
        <w:rPr>
          <w:b/>
          <w:bCs/>
        </w:rPr>
        <w:t>.</w:t>
      </w:r>
    </w:p>
    <w:p w14:paraId="1DF9AD60" w14:textId="6A86048C" w:rsidR="00B73946" w:rsidRPr="00B73946" w:rsidRDefault="00B73946" w:rsidP="00B73946">
      <w:pPr>
        <w:widowControl w:val="0"/>
        <w:ind w:left="562"/>
        <w:rPr>
          <w:b/>
          <w:bCs/>
        </w:rPr>
      </w:pPr>
      <w:r w:rsidRPr="00B73946">
        <w:rPr>
          <w:b/>
          <w:bCs/>
        </w:rPr>
        <w:t>•</w:t>
      </w:r>
      <w:r w:rsidRPr="00B73946">
        <w:rPr>
          <w:b/>
          <w:bCs/>
        </w:rPr>
        <w:tab/>
        <w:t xml:space="preserve">the TNL address of the target donor CU for the mIAB-MT HO. </w:t>
      </w:r>
    </w:p>
    <w:p w14:paraId="261DF08E" w14:textId="77777777" w:rsidR="00E261B5" w:rsidRDefault="00E261B5" w:rsidP="00E261B5">
      <w:pPr>
        <w:overflowPunct/>
        <w:autoSpaceDE/>
        <w:autoSpaceDN/>
        <w:adjustRightInd/>
        <w:spacing w:after="0"/>
        <w:jc w:val="left"/>
        <w:textAlignment w:val="auto"/>
        <w:rPr>
          <w:rFonts w:eastAsia="宋体"/>
          <w:lang w:eastAsia="en-US"/>
        </w:rPr>
      </w:pPr>
    </w:p>
    <w:p w14:paraId="37869C79" w14:textId="229FF63B" w:rsidR="009443C0" w:rsidRDefault="00FE3942" w:rsidP="009443C0">
      <w:pPr>
        <w:pStyle w:val="Heading1"/>
      </w:pPr>
      <w:r>
        <w:t>IAB-D</w:t>
      </w:r>
      <w:r w:rsidR="00724566">
        <w:t>U</w:t>
      </w:r>
      <w:r>
        <w:t xml:space="preserve"> migration</w:t>
      </w:r>
    </w:p>
    <w:p w14:paraId="48BCA999" w14:textId="77777777" w:rsidR="009E5D56" w:rsidRDefault="009E5D56" w:rsidP="001712FF">
      <w:pPr>
        <w:rPr>
          <w:b/>
          <w:bCs/>
        </w:rPr>
      </w:pPr>
      <w:r>
        <w:rPr>
          <w:b/>
          <w:bCs/>
        </w:rPr>
        <w:t>Overall procedure</w:t>
      </w:r>
    </w:p>
    <w:p w14:paraId="53060E3B" w14:textId="140FCAFF" w:rsidR="001712FF" w:rsidRDefault="00445FBE" w:rsidP="001712FF">
      <w:r>
        <w:t>In case full migration need to be supported, the full migration may only be supported when the IAB has 2</w:t>
      </w:r>
      <w:r w:rsidR="001712FF">
        <w:t xml:space="preserve"> IAB-DUs, i.e. the 1</w:t>
      </w:r>
      <w:r w:rsidR="001712FF" w:rsidRPr="00E62C10">
        <w:rPr>
          <w:vertAlign w:val="superscript"/>
        </w:rPr>
        <w:t>st</w:t>
      </w:r>
      <w:r w:rsidR="001712FF">
        <w:t xml:space="preserve"> IAB-DU (e.g. IAB-DU1) for F1-C connection with Source Donor, and the 2</w:t>
      </w:r>
      <w:r w:rsidR="001712FF" w:rsidRPr="00E62C10">
        <w:rPr>
          <w:vertAlign w:val="superscript"/>
        </w:rPr>
        <w:t>nd</w:t>
      </w:r>
      <w:r w:rsidR="001712FF">
        <w:t xml:space="preserve"> IAB-DU (e.g. IAB-</w:t>
      </w:r>
      <w:r w:rsidR="001712FF">
        <w:lastRenderedPageBreak/>
        <w:t xml:space="preserve">DU2) for F1-C connecting with Target Donor. The migration procedure may include intermediate stage, which is </w:t>
      </w:r>
      <w:r w:rsidR="00F40997">
        <w:t>shown</w:t>
      </w:r>
      <w:r w:rsidR="001712FF">
        <w:t xml:space="preserve"> as below:</w:t>
      </w:r>
    </w:p>
    <w:p w14:paraId="2A5CC64D" w14:textId="77777777" w:rsidR="001712FF" w:rsidRDefault="001712FF" w:rsidP="001712FF">
      <w:pPr>
        <w:keepNext/>
        <w:jc w:val="center"/>
      </w:pPr>
      <w:r w:rsidRPr="002504FE">
        <w:rPr>
          <w:noProof/>
        </w:rPr>
        <w:drawing>
          <wp:inline distT="0" distB="0" distL="0" distR="0" wp14:anchorId="34EE94B6" wp14:editId="3FCBEB73">
            <wp:extent cx="6120765" cy="30441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044190"/>
                    </a:xfrm>
                    <a:prstGeom prst="rect">
                      <a:avLst/>
                    </a:prstGeom>
                    <a:noFill/>
                    <a:ln>
                      <a:noFill/>
                    </a:ln>
                  </pic:spPr>
                </pic:pic>
              </a:graphicData>
            </a:graphic>
          </wp:inline>
        </w:drawing>
      </w:r>
    </w:p>
    <w:p w14:paraId="44303BC8" w14:textId="108DD30F" w:rsidR="001712FF" w:rsidRDefault="00B53227" w:rsidP="00B53227">
      <w:pPr>
        <w:pStyle w:val="Caption"/>
        <w:rPr>
          <w:b w:val="0"/>
          <w:bCs w:val="0"/>
        </w:rPr>
      </w:pPr>
      <w:r w:rsidRPr="00640C1B">
        <w:rPr>
          <w:b w:val="0"/>
          <w:bCs w:val="0"/>
        </w:rPr>
        <w:t xml:space="preserve">Figure </w:t>
      </w:r>
      <w:r w:rsidRPr="00640C1B">
        <w:rPr>
          <w:b w:val="0"/>
          <w:bCs w:val="0"/>
        </w:rPr>
        <w:fldChar w:fldCharType="begin"/>
      </w:r>
      <w:r w:rsidRPr="00640C1B">
        <w:rPr>
          <w:b w:val="0"/>
          <w:bCs w:val="0"/>
        </w:rPr>
        <w:instrText xml:space="preserve"> SEQ Figure \* ARABIC </w:instrText>
      </w:r>
      <w:r w:rsidRPr="00640C1B">
        <w:rPr>
          <w:b w:val="0"/>
          <w:bCs w:val="0"/>
        </w:rPr>
        <w:fldChar w:fldCharType="separate"/>
      </w:r>
      <w:r w:rsidR="006C6569">
        <w:rPr>
          <w:b w:val="0"/>
          <w:bCs w:val="0"/>
          <w:noProof/>
        </w:rPr>
        <w:t>1</w:t>
      </w:r>
      <w:r w:rsidRPr="00640C1B">
        <w:rPr>
          <w:b w:val="0"/>
          <w:bCs w:val="0"/>
        </w:rPr>
        <w:fldChar w:fldCharType="end"/>
      </w:r>
      <w:r w:rsidRPr="00640C1B">
        <w:rPr>
          <w:b w:val="0"/>
          <w:bCs w:val="0"/>
          <w:lang w:val="en-US"/>
        </w:rPr>
        <w:t xml:space="preserve">: </w:t>
      </w:r>
      <w:r w:rsidR="001712FF" w:rsidRPr="00BF72BA">
        <w:rPr>
          <w:b w:val="0"/>
          <w:bCs w:val="0"/>
        </w:rPr>
        <w:t xml:space="preserve">Options for migration of </w:t>
      </w:r>
      <w:r w:rsidR="001712FF">
        <w:rPr>
          <w:b w:val="0"/>
          <w:bCs w:val="0"/>
        </w:rPr>
        <w:t>IAB-</w:t>
      </w:r>
      <w:r w:rsidR="001712FF" w:rsidRPr="00BF72BA">
        <w:rPr>
          <w:b w:val="0"/>
          <w:bCs w:val="0"/>
        </w:rPr>
        <w:t xml:space="preserve">MT3 and UE to </w:t>
      </w:r>
      <w:r w:rsidR="001712FF">
        <w:rPr>
          <w:b w:val="0"/>
          <w:bCs w:val="0"/>
        </w:rPr>
        <w:t>IAB-</w:t>
      </w:r>
      <w:r w:rsidR="001712FF" w:rsidRPr="00BF72BA">
        <w:rPr>
          <w:b w:val="0"/>
          <w:bCs w:val="0"/>
        </w:rPr>
        <w:t>donor-CU2</w:t>
      </w:r>
    </w:p>
    <w:p w14:paraId="55F4EA63" w14:textId="77777777" w:rsidR="00926DC9" w:rsidRDefault="00926DC9" w:rsidP="001712FF"/>
    <w:p w14:paraId="09725043" w14:textId="4CC1F048" w:rsidR="001712FF" w:rsidRDefault="00BE79D8" w:rsidP="001712FF">
      <w:r>
        <w:t>T</w:t>
      </w:r>
      <w:r w:rsidR="001712FF">
        <w:t>he HO procedure for the IAB-MT can be based on the existing HO procedure. For moving the UE context from the source Donor to target Donor, the source Donor can initiate the HO procedure for each UE and descendant IAB-MT. Both “Source F1-C” between the 1</w:t>
      </w:r>
      <w:r w:rsidR="001712FF" w:rsidRPr="0041319B">
        <w:rPr>
          <w:vertAlign w:val="superscript"/>
        </w:rPr>
        <w:t>st</w:t>
      </w:r>
      <w:r w:rsidR="001712FF">
        <w:t xml:space="preserve"> DU of the migrating IAB-DU and source Donor, and “Target F1-C” between the 2</w:t>
      </w:r>
      <w:r w:rsidR="001712FF" w:rsidRPr="0041319B">
        <w:rPr>
          <w:vertAlign w:val="superscript"/>
        </w:rPr>
        <w:t>nd</w:t>
      </w:r>
      <w:r w:rsidR="001712FF">
        <w:t xml:space="preserve"> DU of the migrating IAB-DU and target Donor are simultaneously active. </w:t>
      </w:r>
    </w:p>
    <w:p w14:paraId="1421E408" w14:textId="5C3950E6" w:rsidR="0054172E" w:rsidRPr="00653DDF" w:rsidRDefault="0054172E" w:rsidP="001712FF">
      <w:pPr>
        <w:rPr>
          <w:b/>
          <w:bCs/>
        </w:rPr>
      </w:pPr>
      <w:r>
        <w:rPr>
          <w:b/>
          <w:bCs/>
        </w:rPr>
        <w:t>Option 1: IAB-MT is first handover to target</w:t>
      </w:r>
    </w:p>
    <w:p w14:paraId="017DBD56" w14:textId="57F95AEC" w:rsidR="001712FF" w:rsidRDefault="001712FF" w:rsidP="001712FF">
      <w:r>
        <w:t xml:space="preserve">In intermediate stage Option 1, </w:t>
      </w:r>
      <w:r w:rsidR="006E49A4">
        <w:t xml:space="preserve">Rel-17 partial migration is first performed. </w:t>
      </w:r>
      <w:r w:rsidR="00AD679B">
        <w:t>T</w:t>
      </w:r>
      <w:r>
        <w:t>he IAB-MT is first HO to target and the “Source F1” established between the 1</w:t>
      </w:r>
      <w:r w:rsidRPr="000E5954">
        <w:rPr>
          <w:vertAlign w:val="superscript"/>
        </w:rPr>
        <w:t>st</w:t>
      </w:r>
      <w:r>
        <w:t xml:space="preserve"> DU and Source Donor is rerouted via the target path. Both “Source F1” and “Target F1” are routed via target path. Source Donor may then initiate the HO procedure for the UE. An example call flow is shown as below:</w:t>
      </w:r>
    </w:p>
    <w:p w14:paraId="4FD5390C" w14:textId="77777777" w:rsidR="001712FF" w:rsidRDefault="001712FF" w:rsidP="001712FF">
      <w:r>
        <w:object w:dxaOrig="19336" w:dyaOrig="16171" w14:anchorId="371C7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404.4pt" o:ole="">
            <v:imagedata r:id="rId14" o:title=""/>
          </v:shape>
          <o:OLEObject Type="Embed" ProgID="Visio.Drawing.15" ShapeID="_x0000_i1025" DrawAspect="Content" ObjectID="_1729063392" r:id="rId15"/>
        </w:object>
      </w:r>
    </w:p>
    <w:p w14:paraId="41FA7307" w14:textId="64C3F63E" w:rsidR="001712FF" w:rsidRPr="00640C1B" w:rsidRDefault="001712FF" w:rsidP="001712FF">
      <w:pPr>
        <w:spacing w:after="160" w:line="259" w:lineRule="auto"/>
        <w:jc w:val="center"/>
        <w:rPr>
          <w:b/>
          <w:bC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sidR="006C6569">
        <w:rPr>
          <w:noProof/>
        </w:rPr>
        <w:t>2</w:t>
      </w:r>
      <w:r w:rsidRPr="00640C1B">
        <w:rPr>
          <w:b/>
          <w:bCs/>
        </w:rPr>
        <w:fldChar w:fldCharType="end"/>
      </w:r>
      <w:r w:rsidRPr="00640C1B">
        <w:rPr>
          <w:lang w:val="en-US"/>
        </w:rPr>
        <w:t xml:space="preserve">: Example for </w:t>
      </w:r>
      <w:r>
        <w:rPr>
          <w:lang w:val="en-US"/>
        </w:rPr>
        <w:t>TA call flow via intermediate stage option 1</w:t>
      </w:r>
    </w:p>
    <w:p w14:paraId="401BA78A" w14:textId="77777777" w:rsidR="001712FF" w:rsidRDefault="001712FF" w:rsidP="001712FF">
      <w:pPr>
        <w:pStyle w:val="ListParagraph"/>
        <w:numPr>
          <w:ilvl w:val="0"/>
          <w:numId w:val="34"/>
        </w:numPr>
      </w:pPr>
      <w:r>
        <w:t xml:space="preserve">Step 1-7: HO procedure for IAB-MT. </w:t>
      </w:r>
    </w:p>
    <w:p w14:paraId="7FF7245B" w14:textId="77777777" w:rsidR="001712FF" w:rsidRDefault="001712FF" w:rsidP="001712FF">
      <w:pPr>
        <w:pStyle w:val="ListParagraph"/>
        <w:numPr>
          <w:ilvl w:val="0"/>
          <w:numId w:val="34"/>
        </w:numPr>
      </w:pPr>
      <w:r>
        <w:t>Step 8: new IPSec tunnel establishment over target path.</w:t>
      </w:r>
    </w:p>
    <w:p w14:paraId="473AC559" w14:textId="77777777" w:rsidR="001712FF" w:rsidRDefault="001712FF" w:rsidP="001712FF">
      <w:pPr>
        <w:pStyle w:val="ListParagraph"/>
        <w:numPr>
          <w:ilvl w:val="0"/>
          <w:numId w:val="34"/>
        </w:numPr>
      </w:pPr>
      <w:r>
        <w:t>Step 9: move the “Source F1” to target path. The 1</w:t>
      </w:r>
      <w:r w:rsidRPr="00CB552C">
        <w:rPr>
          <w:vertAlign w:val="superscript"/>
        </w:rPr>
        <w:t>st</w:t>
      </w:r>
      <w:r>
        <w:t xml:space="preserve"> DU establish a new SCTP association and inform source Donor to use this new SCTP association. </w:t>
      </w:r>
    </w:p>
    <w:p w14:paraId="34B1BEC6" w14:textId="77777777" w:rsidR="001712FF" w:rsidRDefault="001712FF" w:rsidP="001712FF">
      <w:pPr>
        <w:pStyle w:val="ListParagraph"/>
        <w:numPr>
          <w:ilvl w:val="0"/>
          <w:numId w:val="34"/>
        </w:numPr>
      </w:pPr>
      <w:r>
        <w:t>Step 10: the 2</w:t>
      </w:r>
      <w:r w:rsidRPr="00CB552C">
        <w:rPr>
          <w:vertAlign w:val="superscript"/>
        </w:rPr>
        <w:t>nd</w:t>
      </w:r>
      <w:r>
        <w:t xml:space="preserve"> DU establish the F1 with target Donor. This may also be performed via source path before the HO procedure for IAB-MT. </w:t>
      </w:r>
    </w:p>
    <w:p w14:paraId="21F08ACC" w14:textId="77777777" w:rsidR="001712FF" w:rsidRDefault="001712FF" w:rsidP="001712FF">
      <w:pPr>
        <w:pStyle w:val="ListParagraph"/>
        <w:numPr>
          <w:ilvl w:val="0"/>
          <w:numId w:val="34"/>
        </w:numPr>
      </w:pPr>
      <w:r>
        <w:t xml:space="preserve">Step 11: Target Donor send UE Context Release to Source Donor. Up to the implementation, Source Donor may not need to immediately remove the context for the IAB. </w:t>
      </w:r>
    </w:p>
    <w:p w14:paraId="240977EC" w14:textId="77777777" w:rsidR="001712FF" w:rsidRDefault="001712FF" w:rsidP="001712FF">
      <w:pPr>
        <w:pStyle w:val="ListParagraph"/>
        <w:numPr>
          <w:ilvl w:val="0"/>
          <w:numId w:val="34"/>
        </w:numPr>
      </w:pPr>
      <w:r>
        <w:t>Step 12: Source Donor initiate the HO procedure for the UE. Due to the use of the 2</w:t>
      </w:r>
      <w:r w:rsidRPr="00CA40DC">
        <w:rPr>
          <w:vertAlign w:val="superscript"/>
        </w:rPr>
        <w:t>nd</w:t>
      </w:r>
      <w:r>
        <w:t xml:space="preserve"> DU, the UE context establishment can be performed with current F1AP procedure. </w:t>
      </w:r>
    </w:p>
    <w:p w14:paraId="1A4A5AF9" w14:textId="77777777" w:rsidR="001712FF" w:rsidRDefault="001712FF" w:rsidP="001712FF">
      <w:pPr>
        <w:pStyle w:val="ListParagraph"/>
        <w:numPr>
          <w:ilvl w:val="0"/>
          <w:numId w:val="34"/>
        </w:numPr>
      </w:pPr>
      <w:r>
        <w:t>Step 13: UE connect with target DU (i.e. the 2</w:t>
      </w:r>
      <w:r w:rsidRPr="00FB234A">
        <w:rPr>
          <w:vertAlign w:val="superscript"/>
        </w:rPr>
        <w:t>nd</w:t>
      </w:r>
      <w:r>
        <w:t xml:space="preserve"> DU in the IAB). </w:t>
      </w:r>
    </w:p>
    <w:p w14:paraId="5541016A" w14:textId="4CAF1B2B" w:rsidR="0018351D" w:rsidRDefault="0018351D" w:rsidP="001712FF"/>
    <w:p w14:paraId="59F2F785" w14:textId="77777777" w:rsidR="00653DDF" w:rsidRDefault="007731D3" w:rsidP="007A5DCE">
      <w:pPr>
        <w:rPr>
          <w:b/>
          <w:bCs/>
        </w:rPr>
      </w:pPr>
      <w:r>
        <w:rPr>
          <w:b/>
          <w:bCs/>
        </w:rPr>
        <w:t>Option 2: UE is first handover to target</w:t>
      </w:r>
    </w:p>
    <w:p w14:paraId="750D6F3E" w14:textId="03B88C82" w:rsidR="007A5DCE" w:rsidRPr="007A5DCE" w:rsidRDefault="0018351D" w:rsidP="007A5DCE">
      <w:r>
        <w:t>In intermediate stage Option 2, the UE is first handover to the 2</w:t>
      </w:r>
      <w:r w:rsidRPr="0018351D">
        <w:rPr>
          <w:vertAlign w:val="superscript"/>
        </w:rPr>
        <w:t>nd</w:t>
      </w:r>
      <w:r>
        <w:t xml:space="preserve"> DU/Donor2, then the IAB-MT is handover to Donor2. </w:t>
      </w:r>
      <w:r w:rsidR="007A5DCE">
        <w:t>This is related to the question from last RAN3 meeting “</w:t>
      </w:r>
      <w:r w:rsidR="007A5DCE" w:rsidRPr="0034409C">
        <w:rPr>
          <w:rFonts w:ascii="Calibri" w:hAnsi="Calibri" w:cs="Calibri"/>
          <w:b/>
          <w:color w:val="008000"/>
          <w:sz w:val="18"/>
          <w:szCs w:val="18"/>
          <w:lang w:eastAsia="en-US"/>
        </w:rPr>
        <w:t>whether a mobile IAB-DU can execute inter-donor migration, while the co-located mobile IAB-MT stays connected to the same donor before and after the mobile IAB-DU migration.</w:t>
      </w:r>
      <w:r w:rsidR="007A5DCE">
        <w:rPr>
          <w:rFonts w:ascii="Calibri" w:hAnsi="Calibri" w:cs="Calibri"/>
          <w:b/>
          <w:color w:val="008000"/>
          <w:sz w:val="18"/>
          <w:szCs w:val="18"/>
          <w:lang w:eastAsia="en-US"/>
        </w:rPr>
        <w:t>”</w:t>
      </w:r>
    </w:p>
    <w:p w14:paraId="5D14CB42" w14:textId="3EA32FB7" w:rsidR="007A5DCE" w:rsidRDefault="002E06C6" w:rsidP="001712FF">
      <w:r>
        <w:t xml:space="preserve">In other words, the IAB-DU migration is first performed. </w:t>
      </w:r>
      <w:r w:rsidR="007A5DCE">
        <w:t xml:space="preserve">There are some issues for performing IAB-DU migration while the co-located IAB-MT connects with the same Donor (i.e. Donor1). </w:t>
      </w:r>
    </w:p>
    <w:p w14:paraId="7D4A8F72" w14:textId="34F82AC0" w:rsidR="007A5DCE" w:rsidRDefault="00091D9A" w:rsidP="001712FF">
      <w:pPr>
        <w:pStyle w:val="ListParagraph"/>
        <w:numPr>
          <w:ilvl w:val="0"/>
          <w:numId w:val="34"/>
        </w:numPr>
      </w:pPr>
      <w:r>
        <w:t>After the IAB-DU migrate to Donor2, i</w:t>
      </w:r>
      <w:r w:rsidR="00033812">
        <w:t xml:space="preserve">t is possible that IAB-MT may fail to handover to Donor2. If so, the UEs need to be handover back to Donor1. </w:t>
      </w:r>
      <w:r>
        <w:t xml:space="preserve">This causes unnecessary signaling.  One may argue </w:t>
      </w:r>
      <w:r>
        <w:lastRenderedPageBreak/>
        <w:t xml:space="preserve">that the IAB-MT may not perform the migration (or handover), but that is unclear, i.e. why need the IAB-DU migration if IAB-MT remains connected to same Donor. </w:t>
      </w:r>
    </w:p>
    <w:p w14:paraId="2F8CDAC6" w14:textId="77777777" w:rsidR="00091D9A" w:rsidRDefault="00091D9A" w:rsidP="00091D9A">
      <w:pPr>
        <w:pStyle w:val="ListParagraph"/>
      </w:pPr>
    </w:p>
    <w:p w14:paraId="261F4819" w14:textId="278A5EAA" w:rsidR="007A5DCE" w:rsidRDefault="007A5DCE" w:rsidP="001712FF">
      <w:pPr>
        <w:pStyle w:val="ListParagraph"/>
        <w:numPr>
          <w:ilvl w:val="0"/>
          <w:numId w:val="34"/>
        </w:numPr>
      </w:pPr>
      <w:r>
        <w:t>The procedure is different to Rel-17 partial migration.</w:t>
      </w:r>
      <w:r w:rsidR="00622EDA">
        <w:t xml:space="preserve"> Donor1 need new mechanism to determine whether initiate </w:t>
      </w:r>
      <w:r w:rsidR="00AD0C48">
        <w:t xml:space="preserve">Rel-17 </w:t>
      </w:r>
      <w:r w:rsidR="00622EDA">
        <w:t xml:space="preserve">partial migration, or this type of migration. </w:t>
      </w:r>
    </w:p>
    <w:p w14:paraId="2B801919" w14:textId="77777777" w:rsidR="00091D9A" w:rsidRDefault="00091D9A" w:rsidP="00091D9A">
      <w:pPr>
        <w:pStyle w:val="ListParagraph"/>
      </w:pPr>
    </w:p>
    <w:p w14:paraId="5EE80F87" w14:textId="34920A81" w:rsidR="00091D9A" w:rsidRDefault="00263626" w:rsidP="00091D9A">
      <w:pPr>
        <w:pStyle w:val="ListParagraph"/>
      </w:pPr>
      <w:r>
        <w:t xml:space="preserve">For these reasons, </w:t>
      </w:r>
      <w:r w:rsidR="00091D9A">
        <w:t>we believe there is no need for “</w:t>
      </w:r>
      <w:r w:rsidR="00091D9A" w:rsidRPr="0034409C">
        <w:rPr>
          <w:rFonts w:ascii="Calibri" w:hAnsi="Calibri" w:cs="Calibri"/>
          <w:b/>
          <w:color w:val="008000"/>
          <w:sz w:val="18"/>
          <w:szCs w:val="18"/>
          <w:lang w:eastAsia="en-US"/>
        </w:rPr>
        <w:t>a mobile IAB-DU can execute inter-donor migration, while the co-located mobile IAB-MT stays connected to the same donor before and after the mobile IAB-DU migration</w:t>
      </w:r>
      <w:r w:rsidR="00091D9A">
        <w:t>”</w:t>
      </w:r>
    </w:p>
    <w:p w14:paraId="799C3D41" w14:textId="15EDBDF8" w:rsidR="00FD192C" w:rsidRDefault="00FB57CC" w:rsidP="001712FF">
      <w:r>
        <w:t xml:space="preserve">So in a summary, there is no clear benefit for first perform IAB-DU migration (or first handover the UE). This option actually add more complexity. </w:t>
      </w:r>
    </w:p>
    <w:p w14:paraId="3534ADFC" w14:textId="77777777" w:rsidR="00FB57CC" w:rsidRPr="00653DDF" w:rsidRDefault="00FB57CC" w:rsidP="001712FF"/>
    <w:p w14:paraId="3DC86ED6" w14:textId="3E319CBA" w:rsidR="00515482" w:rsidRDefault="00B57901" w:rsidP="001712FF">
      <w:r w:rsidRPr="00B57901">
        <w:t xml:space="preserve">The other </w:t>
      </w:r>
      <w:r>
        <w:t>question from last RAN3 meeting is “</w:t>
      </w:r>
      <w:r w:rsidRPr="0034409C">
        <w:rPr>
          <w:rFonts w:ascii="Calibri" w:hAnsi="Calibri" w:cs="Calibri"/>
          <w:b/>
          <w:color w:val="008000"/>
          <w:sz w:val="18"/>
          <w:szCs w:val="18"/>
          <w:lang w:eastAsia="en-US"/>
        </w:rPr>
        <w:t>whether a mobile IAB-DU can execute inter-donor migration, while the co-located mobile IAB-MT executes inter-donor migration</w:t>
      </w:r>
      <w:r>
        <w:t xml:space="preserve">”. This seems corresponds to the 1-step procedure executed from Initial stage to Final stage without any intermediate stage. </w:t>
      </w:r>
      <w:r w:rsidR="008A4F1F">
        <w:t>It is unclear how this can be performed based on existing XnAP, or with small enhancement to existing XnAP. Since the co-located IAB-DU1 and IAB-DU2 can be active and opera</w:t>
      </w:r>
      <w:r w:rsidR="00515482">
        <w:t>tional at the same time, there is no urgency to perform the IAB-DU migration or the migration for the connected UEs in a single shot.</w:t>
      </w:r>
      <w:r w:rsidR="00176CCC">
        <w:t xml:space="preserve"> So it is unclear about the benefit to perform the IAB-DU migration and IAB-MT migration at the same time. Before these questions are clarified, we prefer the full migration</w:t>
      </w:r>
      <w:r w:rsidR="003F6A3D">
        <w:t xml:space="preserve"> </w:t>
      </w:r>
      <w:r w:rsidR="003F6A3D">
        <w:rPr>
          <w:rFonts w:hint="eastAsia"/>
        </w:rPr>
        <w:t>is</w:t>
      </w:r>
      <w:r w:rsidR="00176CCC">
        <w:t xml:space="preserve"> based on Rel-17 partial migration</w:t>
      </w:r>
      <w:r w:rsidR="003F6A3D">
        <w:t>. I</w:t>
      </w:r>
      <w:r w:rsidR="00176CCC">
        <w:t xml:space="preserve">n other words, </w:t>
      </w:r>
      <w:r w:rsidR="00975AEE">
        <w:t xml:space="preserve">when there is a need, </w:t>
      </w:r>
      <w:r w:rsidR="00176CCC">
        <w:t xml:space="preserve">full migration is a further step after the partial migration is completed.  </w:t>
      </w:r>
      <w:r w:rsidR="00515482">
        <w:t xml:space="preserve"> </w:t>
      </w:r>
    </w:p>
    <w:p w14:paraId="34F4CC9A" w14:textId="3E9F6BB9" w:rsidR="00176CCC" w:rsidRPr="00B57901" w:rsidRDefault="00176CCC" w:rsidP="001712FF"/>
    <w:p w14:paraId="2B5124BE" w14:textId="4B3366DC" w:rsidR="00FD192C" w:rsidRDefault="005E4BCD" w:rsidP="001712FF">
      <w:pPr>
        <w:rPr>
          <w:b/>
          <w:bCs/>
        </w:rPr>
      </w:pPr>
      <w:r>
        <w:rPr>
          <w:b/>
          <w:bCs/>
        </w:rPr>
        <w:t xml:space="preserve">Proposal </w:t>
      </w:r>
      <w:r w:rsidR="00AC2296">
        <w:rPr>
          <w:b/>
          <w:bCs/>
        </w:rPr>
        <w:t>3</w:t>
      </w:r>
      <w:r>
        <w:rPr>
          <w:b/>
          <w:bCs/>
        </w:rPr>
        <w:t xml:space="preserve">: </w:t>
      </w:r>
      <w:r w:rsidR="00975AEE">
        <w:rPr>
          <w:b/>
          <w:bCs/>
        </w:rPr>
        <w:t>When there is a need, the full migration is performed after the comp</w:t>
      </w:r>
      <w:r w:rsidR="00875A58">
        <w:rPr>
          <w:b/>
          <w:bCs/>
        </w:rPr>
        <w:t>l</w:t>
      </w:r>
      <w:r w:rsidR="00975AEE">
        <w:rPr>
          <w:b/>
          <w:bCs/>
        </w:rPr>
        <w:t xml:space="preserve">etion of Rel-17 </w:t>
      </w:r>
      <w:r w:rsidR="00227752">
        <w:rPr>
          <w:b/>
          <w:bCs/>
        </w:rPr>
        <w:t xml:space="preserve">partial </w:t>
      </w:r>
      <w:r w:rsidR="00975AEE">
        <w:rPr>
          <w:b/>
          <w:bCs/>
        </w:rPr>
        <w:t>migration</w:t>
      </w:r>
      <w:r>
        <w:rPr>
          <w:b/>
          <w:bCs/>
        </w:rPr>
        <w:t xml:space="preserve">. </w:t>
      </w:r>
    </w:p>
    <w:p w14:paraId="0D82C2EC" w14:textId="670D81D5" w:rsidR="005369FF" w:rsidRDefault="005369FF" w:rsidP="001712FF"/>
    <w:p w14:paraId="0C3AB5C7" w14:textId="361361BA" w:rsidR="000C70AD" w:rsidRPr="000C70AD" w:rsidRDefault="000C70AD" w:rsidP="001712FF">
      <w:pPr>
        <w:rPr>
          <w:b/>
          <w:bCs/>
        </w:rPr>
      </w:pPr>
      <w:r w:rsidRPr="000C70AD">
        <w:rPr>
          <w:b/>
          <w:bCs/>
        </w:rPr>
        <w:t>Details to be discussed for IAB-DU migration</w:t>
      </w:r>
      <w:r>
        <w:rPr>
          <w:b/>
          <w:bCs/>
        </w:rPr>
        <w:t>:</w:t>
      </w:r>
    </w:p>
    <w:p w14:paraId="57107A6A" w14:textId="037C8853" w:rsidR="00884EE7" w:rsidRPr="00685145" w:rsidRDefault="00BC40BE" w:rsidP="00685145">
      <w:pPr>
        <w:rPr>
          <w:rFonts w:ascii="Calibri" w:hAnsi="Calibri" w:cs="Calibri"/>
          <w:b/>
          <w:color w:val="008000"/>
        </w:rPr>
      </w:pPr>
      <w:r>
        <w:t>In Option 1, the “new F1” between the 2</w:t>
      </w:r>
      <w:r w:rsidRPr="00BC40BE">
        <w:rPr>
          <w:vertAlign w:val="superscript"/>
        </w:rPr>
        <w:t>nd</w:t>
      </w:r>
      <w:r>
        <w:t xml:space="preserve"> DU and target IAB-donor is setup after the migration IAB-MT is HO to target IAB-donor. There is a possibility that the “new F1” setup may fail for various reasons. If it happens, the full migration cannot be performed. </w:t>
      </w:r>
      <w:r w:rsidR="00B01BAF">
        <w:t xml:space="preserve">Since the migration for the connected UE is initiated by the source IAB-donor-CU, so source IAB-donor need to know whether the “target F1” is ready. </w:t>
      </w:r>
      <w:r w:rsidR="00884EE7">
        <w:t>Last RAN3 meeting agreed</w:t>
      </w:r>
      <w:r w:rsidR="00685145">
        <w:t xml:space="preserve"> </w:t>
      </w:r>
      <w:r w:rsidR="00884EE7" w:rsidRPr="00685145">
        <w:rPr>
          <w:rFonts w:ascii="Calibri" w:hAnsi="Calibri" w:cs="Calibri"/>
          <w:b/>
          <w:color w:val="008000"/>
        </w:rPr>
        <w:t>The source donor CU for mIAB-DU migration should be informed that the second logical mIAB-DU has successfully established an F1 connection towards the target CU. Details are FFS.</w:t>
      </w:r>
    </w:p>
    <w:p w14:paraId="6935FBF9" w14:textId="77777777" w:rsidR="00884EE7" w:rsidRDefault="00884EE7" w:rsidP="001712FF"/>
    <w:p w14:paraId="61957E17" w14:textId="741EEEDD" w:rsidR="009E1B07" w:rsidRDefault="009E1B07" w:rsidP="001712FF">
      <w:r>
        <w:t>Two options were discussed in last RAN3 meeting</w:t>
      </w:r>
    </w:p>
    <w:p w14:paraId="2F73AEC6" w14:textId="10B79AE2" w:rsidR="005D1F22" w:rsidRDefault="009E1B07" w:rsidP="009E1B07">
      <w:pPr>
        <w:pStyle w:val="ListParagraph"/>
        <w:numPr>
          <w:ilvl w:val="0"/>
          <w:numId w:val="34"/>
        </w:numPr>
      </w:pPr>
      <w:r>
        <w:t>Via XnAP</w:t>
      </w:r>
      <w:r w:rsidR="00280D9F">
        <w:tab/>
      </w:r>
      <w:r w:rsidR="00280D9F">
        <w:tab/>
      </w:r>
    </w:p>
    <w:p w14:paraId="319EAEA5" w14:textId="77777777" w:rsidR="00280D9F" w:rsidRDefault="00280D9F" w:rsidP="00280D9F">
      <w:pPr>
        <w:pStyle w:val="ListParagraph"/>
        <w:ind w:left="1124"/>
      </w:pPr>
    </w:p>
    <w:p w14:paraId="2C0E1488" w14:textId="6EBD861F" w:rsidR="009E1B07" w:rsidRDefault="009E1B07" w:rsidP="009E1B07">
      <w:pPr>
        <w:pStyle w:val="ListParagraph"/>
        <w:numPr>
          <w:ilvl w:val="0"/>
          <w:numId w:val="34"/>
        </w:numPr>
        <w:rPr>
          <w:i/>
        </w:rPr>
      </w:pPr>
      <w:r>
        <w:t>Via F1AP</w:t>
      </w:r>
      <w:r w:rsidR="00280D9F">
        <w:tab/>
      </w:r>
      <w:r w:rsidR="00280D9F">
        <w:tab/>
      </w:r>
    </w:p>
    <w:p w14:paraId="46FA8792" w14:textId="302BF930" w:rsidR="0080631F" w:rsidRDefault="0080631F" w:rsidP="0080631F">
      <w:pPr>
        <w:pStyle w:val="ListParagraph"/>
      </w:pPr>
    </w:p>
    <w:p w14:paraId="22036082" w14:textId="4CF0D9A1" w:rsidR="00E87221" w:rsidRDefault="003C67F6" w:rsidP="003C67F6">
      <w:r>
        <w:t>This issue is also related to the next issue on how IAB-donor-CU know the target cell ID to be used for HO the UE.</w:t>
      </w:r>
      <w:r w:rsidR="00E22A6B">
        <w:t xml:space="preserve"> </w:t>
      </w:r>
    </w:p>
    <w:p w14:paraId="780F8307" w14:textId="77777777" w:rsidR="00A077FE" w:rsidRDefault="00A077FE" w:rsidP="00A077FE">
      <w:pPr>
        <w:pStyle w:val="ListParagraph"/>
      </w:pPr>
    </w:p>
    <w:p w14:paraId="3C7031CA" w14:textId="77777777" w:rsidR="00F53F6A" w:rsidRDefault="001712FF" w:rsidP="003C67F6">
      <w:pPr>
        <w:pStyle w:val="ListParagraph"/>
        <w:ind w:left="0"/>
      </w:pPr>
      <w:r>
        <w:t xml:space="preserve">In current HO Request message, the target cell ID is mandatory. </w:t>
      </w:r>
      <w:r w:rsidR="00053EF3">
        <w:t xml:space="preserve">The migrating IAB may have multiple cells. </w:t>
      </w:r>
      <w:r w:rsidR="007D1106">
        <w:t>Each DU1’s cell will have a correspond DU2’s cell. To initiate the handover preparation procedure for the connected UE, source IAB-donor-CU need to know the target cell of corresponds to the DU2’s cell. In case the DU2 is configured as normal IAB, e.g. the PCI, NCGI, etc</w:t>
      </w:r>
      <w:r w:rsidR="0080631F">
        <w:t>.</w:t>
      </w:r>
      <w:r w:rsidR="007D1106">
        <w:t xml:space="preserve"> </w:t>
      </w:r>
    </w:p>
    <w:p w14:paraId="371E9E12" w14:textId="77777777" w:rsidR="00F53F6A" w:rsidRDefault="00F53F6A" w:rsidP="003C67F6">
      <w:pPr>
        <w:pStyle w:val="ListParagraph"/>
        <w:ind w:left="0"/>
      </w:pPr>
    </w:p>
    <w:p w14:paraId="0170D29B" w14:textId="77777777" w:rsidR="00DD207B" w:rsidRDefault="00F53F6A" w:rsidP="00DD207B">
      <w:pPr>
        <w:pStyle w:val="ListParagraph"/>
        <w:ind w:left="0"/>
      </w:pPr>
      <w:r>
        <w:t xml:space="preserve">An IAB-DU may have more than 1 cells. </w:t>
      </w:r>
      <w:r w:rsidR="001A28DD" w:rsidRPr="001A28DD">
        <w:t>For example, mobile IAB is deployed on a train with 8 railway carriages.</w:t>
      </w:r>
      <w:r w:rsidR="003C2CB4">
        <w:t xml:space="preserve"> The IAB-DU have 2 cells, and each cell serves 4 railway carriages.</w:t>
      </w:r>
      <w:r w:rsidR="00DD207B" w:rsidRPr="00DD207B">
        <w:t xml:space="preserve"> </w:t>
      </w:r>
    </w:p>
    <w:p w14:paraId="64884887" w14:textId="70DA4AB4" w:rsidR="00DD207B" w:rsidRDefault="00DD207B" w:rsidP="00DD207B">
      <w:pPr>
        <w:pStyle w:val="ListParagraph"/>
        <w:ind w:left="0"/>
      </w:pPr>
      <w:r>
        <w:object w:dxaOrig="10095" w:dyaOrig="2941" w14:anchorId="58BCF823">
          <v:shape id="_x0000_i1071" type="#_x0000_t75" style="width:481.55pt;height:140.25pt" o:ole="">
            <v:imagedata r:id="rId16" o:title=""/>
          </v:shape>
          <o:OLEObject Type="Embed" ProgID="Visio.Drawing.15" ShapeID="_x0000_i1071" DrawAspect="Content" ObjectID="_1729063393" r:id="rId17"/>
        </w:object>
      </w:r>
    </w:p>
    <w:p w14:paraId="5B535FDF" w14:textId="77777777" w:rsidR="00DD207B" w:rsidRPr="00640C1B" w:rsidRDefault="00DD207B" w:rsidP="00DD207B">
      <w:pPr>
        <w:spacing w:after="160" w:line="259" w:lineRule="auto"/>
        <w:jc w:val="center"/>
        <w:rPr>
          <w:b/>
          <w:bC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Pr>
          <w:noProof/>
        </w:rPr>
        <w:t>3</w:t>
      </w:r>
      <w:r w:rsidRPr="00640C1B">
        <w:rPr>
          <w:b/>
          <w:bCs/>
        </w:rPr>
        <w:fldChar w:fldCharType="end"/>
      </w:r>
      <w:r w:rsidRPr="00640C1B">
        <w:rPr>
          <w:lang w:val="en-US"/>
        </w:rPr>
        <w:t xml:space="preserve">: Example for </w:t>
      </w:r>
      <w:r>
        <w:rPr>
          <w:lang w:val="en-US"/>
        </w:rPr>
        <w:t>IAB-DU with more than 1 cell</w:t>
      </w:r>
    </w:p>
    <w:p w14:paraId="75CAD5AA" w14:textId="2891DF61" w:rsidR="001A28DD" w:rsidRPr="001A28DD" w:rsidRDefault="001A28DD" w:rsidP="001A28DD">
      <w:pPr>
        <w:pStyle w:val="ListParagraph"/>
        <w:ind w:left="0"/>
      </w:pPr>
    </w:p>
    <w:p w14:paraId="0173C383" w14:textId="77777777" w:rsidR="001A28DD" w:rsidRPr="001A28DD" w:rsidRDefault="001A28DD" w:rsidP="001A28DD">
      <w:pPr>
        <w:pStyle w:val="ListParagraph"/>
        <w:numPr>
          <w:ilvl w:val="0"/>
          <w:numId w:val="40"/>
        </w:numPr>
        <w:spacing w:before="120" w:after="0" w:line="259" w:lineRule="auto"/>
      </w:pPr>
      <w:r w:rsidRPr="001A28DD">
        <w:t>Before migration, only IAB-DU1 is active. IAB-DU1 have 2 cells with cell ID 100 (covering carriage 1-4) and 101 (covering carriage 5-8)</w:t>
      </w:r>
    </w:p>
    <w:p w14:paraId="512029AB" w14:textId="20B03C29" w:rsidR="001A28DD" w:rsidRPr="001A28DD" w:rsidRDefault="001A28DD" w:rsidP="001A28DD">
      <w:pPr>
        <w:pStyle w:val="ListParagraph"/>
        <w:numPr>
          <w:ilvl w:val="0"/>
          <w:numId w:val="40"/>
        </w:numPr>
        <w:spacing w:before="120" w:after="0" w:line="259" w:lineRule="auto"/>
      </w:pPr>
      <w:r w:rsidRPr="001A28DD">
        <w:t xml:space="preserve">After migration, only IAB-DU2 is active. IAB-DU2 also have 2 cells with cell ID 200 (covering carriage 1-4) and 201 (covering carriage 5-8). </w:t>
      </w:r>
    </w:p>
    <w:p w14:paraId="59EB5DFC" w14:textId="77777777" w:rsidR="001A28DD" w:rsidRPr="001A28DD" w:rsidRDefault="001A28DD" w:rsidP="001A28DD">
      <w:pPr>
        <w:spacing w:before="120" w:after="0"/>
      </w:pPr>
      <w:r w:rsidRPr="001A28DD">
        <w:t xml:space="preserve">Source CU need to know target cell ID 200 (rather than 201) is used for those UEs connecting with IAB-DU1 cell using cell ID 100. </w:t>
      </w:r>
    </w:p>
    <w:p w14:paraId="3581822F" w14:textId="77777777" w:rsidR="001A28DD" w:rsidRPr="001A28DD" w:rsidRDefault="001A28DD" w:rsidP="001A28DD">
      <w:pPr>
        <w:pStyle w:val="ListParagraph"/>
        <w:numPr>
          <w:ilvl w:val="0"/>
          <w:numId w:val="40"/>
        </w:numPr>
        <w:spacing w:before="120" w:after="0" w:line="259" w:lineRule="auto"/>
      </w:pPr>
      <w:r w:rsidRPr="001A28DD">
        <w:t xml:space="preserve">Option 1: OAM configures IAB-DU2 (e.g. cell ID), IAB-DU2 informs IAB-DU1 via implementation method since they are co-located, then IAB-DU1 informs source donor CU for the cell ID mapping via F1. </w:t>
      </w:r>
    </w:p>
    <w:p w14:paraId="446C25A8" w14:textId="77777777" w:rsidR="001A28DD" w:rsidRPr="001A28DD" w:rsidRDefault="001A28DD" w:rsidP="001A28DD">
      <w:pPr>
        <w:pStyle w:val="ListParagraph"/>
        <w:numPr>
          <w:ilvl w:val="0"/>
          <w:numId w:val="40"/>
        </w:numPr>
        <w:spacing w:before="120" w:after="0" w:line="259" w:lineRule="auto"/>
      </w:pPr>
      <w:r w:rsidRPr="001A28DD">
        <w:t xml:space="preserve">Option 2:  OAM configures IAB-DU2 (e.g. cell ID), IAB-DU2 informs target CU for the cell ID mapping, then target CU informs source donor CU. </w:t>
      </w:r>
    </w:p>
    <w:p w14:paraId="708A7AB8" w14:textId="77777777" w:rsidR="00F53F6A" w:rsidRDefault="00F53F6A" w:rsidP="003C67F6">
      <w:pPr>
        <w:pStyle w:val="ListParagraph"/>
        <w:ind w:left="0"/>
      </w:pPr>
    </w:p>
    <w:p w14:paraId="6B748580" w14:textId="1A6F7807" w:rsidR="009970E8" w:rsidRDefault="007D02B0" w:rsidP="003C67F6">
      <w:pPr>
        <w:pStyle w:val="ListParagraph"/>
        <w:ind w:left="0"/>
      </w:pPr>
      <w:r>
        <w:t>T</w:t>
      </w:r>
      <w:r w:rsidR="005A05B2">
        <w:t>he two issues</w:t>
      </w:r>
      <w:r>
        <w:t xml:space="preserve"> (i.e. how to know F1 is ready, and how to know the target cell ID)</w:t>
      </w:r>
      <w:r w:rsidR="005A05B2">
        <w:t xml:space="preserve"> </w:t>
      </w:r>
      <w:r>
        <w:t xml:space="preserve">should be treated </w:t>
      </w:r>
      <w:r w:rsidR="005A05B2">
        <w:t>together and use same procedure</w:t>
      </w:r>
      <w:r w:rsidR="00D3371B">
        <w:t xml:space="preserve"> to inform the </w:t>
      </w:r>
      <w:r w:rsidR="00D3371B" w:rsidRPr="00D3371B">
        <w:t>source donor CU for mIAB-DU migration</w:t>
      </w:r>
      <w:r w:rsidR="004F5DDE">
        <w:t xml:space="preserve"> that </w:t>
      </w:r>
      <w:r w:rsidR="004F5DDE" w:rsidRPr="004F5DDE">
        <w:t>the second logical mIAB-DU has successfully established an F1 connection towards the target CU</w:t>
      </w:r>
      <w:r w:rsidR="004F5DDE">
        <w:t>, and the cell ID mapping from the first logical mIAB-DU cell to the second</w:t>
      </w:r>
      <w:r w:rsidR="004F5DDE" w:rsidRPr="004F5DDE">
        <w:t xml:space="preserve"> </w:t>
      </w:r>
      <w:r w:rsidR="004F5DDE">
        <w:t>logical mIAB-DU cell</w:t>
      </w:r>
      <w:r w:rsidR="004F5DDE" w:rsidRPr="004F5DDE">
        <w:t>.</w:t>
      </w:r>
    </w:p>
    <w:p w14:paraId="384ACA21" w14:textId="77777777" w:rsidR="004F5DDE" w:rsidRDefault="004F5DDE" w:rsidP="003C67F6">
      <w:pPr>
        <w:pStyle w:val="ListParagraph"/>
        <w:ind w:left="0"/>
      </w:pPr>
    </w:p>
    <w:p w14:paraId="4219EB44" w14:textId="77777777" w:rsidR="007C43A6" w:rsidRDefault="007C43A6" w:rsidP="007C43A6">
      <w:pPr>
        <w:pStyle w:val="ListParagraph"/>
        <w:ind w:left="0"/>
      </w:pPr>
      <w:r>
        <w:t>An example using F1 procedure is described here. After the F1 is setup between DU2 and target Donor-CU, DU2 can inform the co-located DU1 that the new F1 is ready, and also inform DU1 for the new cell information. IAB-DU1 may then inform IAB-donor-CU1 that new F1 is ready with target IAB-donor and the new cell information. So IAB-donor-CU1 can know the new cell ID to be used as target cell ID before initiate the handover preparation procedure for the UE. An example call flow is shown below.</w:t>
      </w:r>
    </w:p>
    <w:p w14:paraId="7763632C" w14:textId="77777777" w:rsidR="007C43A6" w:rsidRDefault="007C43A6" w:rsidP="007C43A6">
      <w:pPr>
        <w:pStyle w:val="ListParagraph"/>
      </w:pPr>
    </w:p>
    <w:p w14:paraId="3AE07629" w14:textId="77777777" w:rsidR="007C43A6" w:rsidRDefault="007C43A6" w:rsidP="007C43A6">
      <w:pPr>
        <w:pStyle w:val="ListParagraph"/>
      </w:pPr>
    </w:p>
    <w:p w14:paraId="5021E161" w14:textId="77777777" w:rsidR="007C43A6" w:rsidRDefault="007C43A6" w:rsidP="007C43A6">
      <w:pPr>
        <w:pStyle w:val="ListParagraph"/>
      </w:pPr>
      <w:r>
        <w:object w:dxaOrig="23821" w:dyaOrig="9091" w14:anchorId="1B485CB9">
          <v:shape id="_x0000_i1073" type="#_x0000_t75" style="width:414.7pt;height:158.05pt" o:ole="">
            <v:imagedata r:id="rId18" o:title=""/>
          </v:shape>
          <o:OLEObject Type="Embed" ProgID="Visio.Drawing.15" ShapeID="_x0000_i1073" DrawAspect="Content" ObjectID="_1729063394" r:id="rId19"/>
        </w:object>
      </w:r>
    </w:p>
    <w:p w14:paraId="3ED021F3" w14:textId="77777777" w:rsidR="007C43A6" w:rsidRPr="00640C1B" w:rsidRDefault="007C43A6" w:rsidP="007C43A6">
      <w:pPr>
        <w:spacing w:after="160" w:line="259" w:lineRule="auto"/>
        <w:jc w:val="center"/>
        <w:rPr>
          <w:b/>
          <w:bC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Pr>
          <w:noProof/>
        </w:rPr>
        <w:t>4</w:t>
      </w:r>
      <w:r w:rsidRPr="00640C1B">
        <w:rPr>
          <w:b/>
          <w:bCs/>
        </w:rPr>
        <w:fldChar w:fldCharType="end"/>
      </w:r>
      <w:r w:rsidRPr="00640C1B">
        <w:rPr>
          <w:lang w:val="en-US"/>
        </w:rPr>
        <w:t xml:space="preserve">: Example for </w:t>
      </w:r>
      <w:r>
        <w:rPr>
          <w:lang w:val="en-US"/>
        </w:rPr>
        <w:t>source Donor-CU know the target cell ID</w:t>
      </w:r>
    </w:p>
    <w:p w14:paraId="31227C0C" w14:textId="70DF527B" w:rsidR="004F5DDE" w:rsidRPr="00B108B7" w:rsidRDefault="004F5DDE" w:rsidP="004F5DDE">
      <w:pPr>
        <w:pStyle w:val="ListParagraph"/>
        <w:ind w:left="0"/>
        <w:rPr>
          <w:b/>
          <w:bCs/>
        </w:rPr>
      </w:pPr>
      <w:r w:rsidRPr="00B108B7">
        <w:rPr>
          <w:b/>
          <w:bCs/>
        </w:rPr>
        <w:t xml:space="preserve">Proposal 4: </w:t>
      </w:r>
      <w:r w:rsidRPr="00B108B7">
        <w:rPr>
          <w:b/>
          <w:bCs/>
        </w:rPr>
        <w:t>use same procedure</w:t>
      </w:r>
      <w:r w:rsidR="00B108B7" w:rsidRPr="00B108B7">
        <w:rPr>
          <w:b/>
          <w:bCs/>
        </w:rPr>
        <w:t xml:space="preserve"> (i.e. Xn or F1)</w:t>
      </w:r>
      <w:r w:rsidRPr="00B108B7">
        <w:rPr>
          <w:b/>
          <w:bCs/>
        </w:rPr>
        <w:t xml:space="preserve"> to inform the source donor CU for mIAB-DU migration that the second logical mIAB-DU has successfully established an F1 connection towards the target CU, and the cell ID mapping from the first logical mIAB-DU cell to the second logical mIAB-DU cell.</w:t>
      </w:r>
    </w:p>
    <w:p w14:paraId="2BD57645" w14:textId="77777777" w:rsidR="009970E8" w:rsidRDefault="009970E8" w:rsidP="003C67F6">
      <w:pPr>
        <w:pStyle w:val="ListParagraph"/>
        <w:ind w:left="0"/>
      </w:pPr>
    </w:p>
    <w:p w14:paraId="52CE9F4B" w14:textId="22D6AC3D" w:rsidR="00E4645F" w:rsidRDefault="00E4645F" w:rsidP="00E4645F">
      <w:pPr>
        <w:pStyle w:val="Heading1"/>
      </w:pPr>
      <w:r>
        <w:lastRenderedPageBreak/>
        <w:t>IAB migration via NG-HO</w:t>
      </w:r>
    </w:p>
    <w:p w14:paraId="0D46FC59" w14:textId="26F1238B" w:rsidR="00A92D62" w:rsidRDefault="00D0214A" w:rsidP="00E22A6B">
      <w:pPr>
        <w:pStyle w:val="ListParagraph"/>
        <w:ind w:left="0"/>
      </w:pPr>
      <w:r>
        <w:t>Last RAN3 meeting agreed “</w:t>
      </w:r>
      <w:r w:rsidRPr="0038242C">
        <w:rPr>
          <w:rFonts w:ascii="Calibri" w:hAnsi="Calibri" w:cs="Calibri"/>
          <w:b/>
          <w:color w:val="008000"/>
          <w:sz w:val="22"/>
          <w:szCs w:val="22"/>
        </w:rPr>
        <w:t>RAN3 to discuss support of mIAB-node mobility over NGAP.</w:t>
      </w:r>
      <w:r>
        <w:t xml:space="preserve">” </w:t>
      </w:r>
      <w:r w:rsidR="00E4645F">
        <w:t xml:space="preserve">When the IAB node migrate to target IAB-donor, </w:t>
      </w:r>
      <w:r w:rsidR="000D3B47">
        <w:t xml:space="preserve">Rel-17 defines Xn-HO procedure is used to handover the IAB-MT to target IAB-donor. In case target IAB-donor connects to a different AMF, i.e. the target IAB-donor belongs to a different AMF area, NG-HO should be used to handover the IAB-MT to target IAB-donor. </w:t>
      </w:r>
      <w:r>
        <w:t xml:space="preserve">We think it is a valid scenario that the target IAB-donor belongs to a </w:t>
      </w:r>
      <w:r w:rsidR="00A92D62">
        <w:t xml:space="preserve">different AMF area, </w:t>
      </w:r>
      <w:r w:rsidR="00A43890">
        <w:t xml:space="preserve">while Xn may still exist between IAB-donors from different AMF area. </w:t>
      </w:r>
    </w:p>
    <w:p w14:paraId="6F84DABF" w14:textId="77777777" w:rsidR="001D2433" w:rsidRDefault="001D2433" w:rsidP="00E22A6B">
      <w:pPr>
        <w:pStyle w:val="ListParagraph"/>
        <w:ind w:left="0"/>
      </w:pPr>
    </w:p>
    <w:p w14:paraId="373D2843" w14:textId="2F3A8515" w:rsidR="00F53F6A" w:rsidRDefault="007434A0" w:rsidP="00E22A6B">
      <w:pPr>
        <w:pStyle w:val="ListParagraph"/>
        <w:ind w:left="0"/>
      </w:pPr>
      <w:r>
        <w:rPr>
          <w:b/>
          <w:bCs/>
        </w:rPr>
        <w:t xml:space="preserve">Observation </w:t>
      </w:r>
      <w:r w:rsidR="007D02B0">
        <w:rPr>
          <w:b/>
          <w:bCs/>
        </w:rPr>
        <w:t>1</w:t>
      </w:r>
      <w:r>
        <w:rPr>
          <w:b/>
          <w:bCs/>
        </w:rPr>
        <w:t xml:space="preserve">: NG-HO can be used to handover the IAB-MT to target IAB-donor. </w:t>
      </w:r>
      <w:r w:rsidR="00D0214A">
        <w:t xml:space="preserve"> </w:t>
      </w:r>
    </w:p>
    <w:p w14:paraId="70E05025" w14:textId="77777777" w:rsidR="000D3B47" w:rsidRDefault="000D3B47" w:rsidP="00E22A6B">
      <w:pPr>
        <w:pStyle w:val="ListParagraph"/>
        <w:ind w:left="0"/>
      </w:pPr>
    </w:p>
    <w:p w14:paraId="0900BC70" w14:textId="678B305B" w:rsidR="00524477" w:rsidRDefault="007434A0" w:rsidP="00524477">
      <w:pPr>
        <w:pStyle w:val="ListParagraph"/>
        <w:ind w:left="0"/>
      </w:pPr>
      <w:r>
        <w:t>The existing NG-HO procedure can be reused, with small enhancements. One aspect is the IAB-MT may not have a PDU session</w:t>
      </w:r>
      <w:r w:rsidR="00AE45A6">
        <w:t xml:space="preserve">. However, the </w:t>
      </w:r>
      <w:r w:rsidR="00107EE6" w:rsidRPr="003641FA">
        <w:rPr>
          <w:i/>
          <w:iCs/>
        </w:rPr>
        <w:t xml:space="preserve">PDU Session Resource </w:t>
      </w:r>
      <w:r w:rsidR="00A3017D">
        <w:rPr>
          <w:i/>
          <w:iCs/>
        </w:rPr>
        <w:t>L</w:t>
      </w:r>
      <w:r w:rsidR="00107EE6" w:rsidRPr="003641FA">
        <w:rPr>
          <w:i/>
          <w:iCs/>
        </w:rPr>
        <w:t>ist</w:t>
      </w:r>
      <w:r w:rsidR="00107EE6">
        <w:t xml:space="preserve"> IE is a Mandatory IE in the </w:t>
      </w:r>
      <w:r w:rsidR="001D124B">
        <w:t xml:space="preserve">NGAP HANDOVER REQUIRED message, and the </w:t>
      </w:r>
      <w:r w:rsidR="001D124B" w:rsidRPr="009D6298">
        <w:rPr>
          <w:i/>
          <w:iCs/>
        </w:rPr>
        <w:t>PDU Session Resource</w:t>
      </w:r>
      <w:r w:rsidR="001D124B">
        <w:rPr>
          <w:i/>
          <w:iCs/>
        </w:rPr>
        <w:t xml:space="preserve"> Setup</w:t>
      </w:r>
      <w:r w:rsidR="001D124B" w:rsidRPr="009D6298">
        <w:rPr>
          <w:i/>
          <w:iCs/>
        </w:rPr>
        <w:t xml:space="preserve"> </w:t>
      </w:r>
      <w:r w:rsidR="001D124B">
        <w:rPr>
          <w:i/>
          <w:iCs/>
        </w:rPr>
        <w:t>L</w:t>
      </w:r>
      <w:r w:rsidR="001D124B" w:rsidRPr="009D6298">
        <w:rPr>
          <w:i/>
          <w:iCs/>
        </w:rPr>
        <w:t>ist</w:t>
      </w:r>
      <w:r w:rsidR="001D124B">
        <w:t xml:space="preserve"> IE is a Mandatory IE in the NGAP HANDOVER REQUEST message. </w:t>
      </w:r>
      <w:r w:rsidR="00524477">
        <w:t xml:space="preserve">Similar issue was also discussed in the Xn-HO, and RAN3 agreed to add the </w:t>
      </w:r>
      <w:r w:rsidR="00524477" w:rsidRPr="009D6298">
        <w:rPr>
          <w:i/>
          <w:iCs/>
        </w:rPr>
        <w:t>No PDU Session Indication</w:t>
      </w:r>
      <w:r w:rsidR="00524477">
        <w:t xml:space="preserve"> IE in the XnAP HANDOVER REQUEST message. Similar mechanism </w:t>
      </w:r>
      <w:r w:rsidR="00D72DC4">
        <w:t>may</w:t>
      </w:r>
      <w:r w:rsidR="00524477">
        <w:t xml:space="preserve"> be introduced for NG-HO. </w:t>
      </w:r>
    </w:p>
    <w:p w14:paraId="23582E9B" w14:textId="77777777" w:rsidR="00524477" w:rsidRDefault="00524477" w:rsidP="00E22A6B">
      <w:pPr>
        <w:pStyle w:val="ListParagraph"/>
        <w:ind w:left="0"/>
      </w:pPr>
    </w:p>
    <w:p w14:paraId="3C9BB9DD" w14:textId="5A69AE7F" w:rsidR="00383993" w:rsidRDefault="00383993" w:rsidP="00E22A6B">
      <w:pPr>
        <w:pStyle w:val="ListParagraph"/>
        <w:ind w:left="0"/>
      </w:pPr>
      <w:r>
        <w:t>There are following issues to be addressed:</w:t>
      </w:r>
    </w:p>
    <w:p w14:paraId="188F105E" w14:textId="0F820981" w:rsidR="00383993" w:rsidRDefault="00383993" w:rsidP="00383993">
      <w:pPr>
        <w:pStyle w:val="ListParagraph"/>
        <w:numPr>
          <w:ilvl w:val="0"/>
          <w:numId w:val="40"/>
        </w:numPr>
      </w:pPr>
      <w:r>
        <w:t xml:space="preserve">How does AMF handle the </w:t>
      </w:r>
      <w:r w:rsidR="001D1916">
        <w:t xml:space="preserve">NGAP HANDOVER REQUIRED message including the </w:t>
      </w:r>
      <w:r w:rsidR="001D1916" w:rsidRPr="009D6298">
        <w:rPr>
          <w:i/>
          <w:iCs/>
        </w:rPr>
        <w:t xml:space="preserve">PDU Session Resource </w:t>
      </w:r>
      <w:r w:rsidR="001D1916">
        <w:rPr>
          <w:i/>
          <w:iCs/>
        </w:rPr>
        <w:t>L</w:t>
      </w:r>
      <w:r w:rsidR="001D1916" w:rsidRPr="009D6298">
        <w:rPr>
          <w:i/>
          <w:iCs/>
        </w:rPr>
        <w:t>ist</w:t>
      </w:r>
      <w:r w:rsidR="001D1916">
        <w:t xml:space="preserve"> IE, but the IAB-MT actually does not have a PDU session?</w:t>
      </w:r>
    </w:p>
    <w:p w14:paraId="3DCED03B" w14:textId="77777777" w:rsidR="00D64101" w:rsidRDefault="00D64101" w:rsidP="00D64101">
      <w:pPr>
        <w:pStyle w:val="ListParagraph"/>
      </w:pPr>
    </w:p>
    <w:p w14:paraId="57C3BB67" w14:textId="295D30EE" w:rsidR="00D3346D" w:rsidRDefault="00F058A3" w:rsidP="00D64101">
      <w:pPr>
        <w:pStyle w:val="ListParagraph"/>
      </w:pPr>
      <w:r>
        <w:t>Current TS38.413 defines</w:t>
      </w:r>
    </w:p>
    <w:p w14:paraId="4E4621EC" w14:textId="77777777" w:rsidR="00F058A3" w:rsidRPr="001D2E49" w:rsidRDefault="00F058A3" w:rsidP="003641FA">
      <w:pPr>
        <w:ind w:left="1124"/>
      </w:pPr>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rPr>
        <w:t xml:space="preserve"> </w:t>
      </w:r>
      <w:r w:rsidRPr="001D2E49">
        <w:t xml:space="preserve">transfer the </w:t>
      </w:r>
      <w:r w:rsidRPr="001D2E49">
        <w:rPr>
          <w:i/>
          <w:snapToGrid w:val="0"/>
        </w:rPr>
        <w:t>Handover Required Transfer</w:t>
      </w:r>
      <w:r w:rsidRPr="001D2E49">
        <w:t xml:space="preserve"> IE to the SMF associated with the concerned PDU session.</w:t>
      </w:r>
    </w:p>
    <w:p w14:paraId="43E596EC" w14:textId="77777777" w:rsidR="00F058A3" w:rsidRDefault="00F058A3" w:rsidP="00D64101">
      <w:pPr>
        <w:pStyle w:val="ListParagraph"/>
      </w:pPr>
    </w:p>
    <w:p w14:paraId="64823BB2" w14:textId="1C83C132" w:rsidR="00871BD7" w:rsidRDefault="000A7EB4" w:rsidP="00871BD7">
      <w:pPr>
        <w:pStyle w:val="ListParagraph"/>
      </w:pPr>
      <w:r>
        <w:t>In case the IAB-MT does not have PDU session, this paragraph need</w:t>
      </w:r>
      <w:r w:rsidR="00A555DE">
        <w:t>s</w:t>
      </w:r>
      <w:r>
        <w:t xml:space="preserve"> to be modified. </w:t>
      </w:r>
      <w:r w:rsidR="009B0B9E">
        <w:t xml:space="preserve">The </w:t>
      </w:r>
      <w:r w:rsidR="00D32022">
        <w:t xml:space="preserve">AMF </w:t>
      </w:r>
      <w:r w:rsidR="00DA45A0">
        <w:t xml:space="preserve">can </w:t>
      </w:r>
      <w:r w:rsidR="00D32022">
        <w:t>know the UE is an IAB-MT, and AMF also know</w:t>
      </w:r>
      <w:r w:rsidR="007C67F8">
        <w:t>s that</w:t>
      </w:r>
      <w:r w:rsidR="00D32022">
        <w:t xml:space="preserve"> there is no PDU session for the IAB-MT, so the AMF </w:t>
      </w:r>
      <w:r w:rsidR="00BE42D4">
        <w:t>can</w:t>
      </w:r>
      <w:r w:rsidR="00D32022">
        <w:t xml:space="preserve"> handle the</w:t>
      </w:r>
      <w:r w:rsidR="00152818">
        <w:t xml:space="preserve"> received PDU session information differently. </w:t>
      </w:r>
      <w:r w:rsidR="002F778F">
        <w:t>For the Stage-3 implementation, there are two options:</w:t>
      </w:r>
    </w:p>
    <w:p w14:paraId="7060D146" w14:textId="77777777" w:rsidR="002F778F" w:rsidRDefault="002F778F" w:rsidP="00871BD7">
      <w:pPr>
        <w:pStyle w:val="ListParagraph"/>
      </w:pPr>
    </w:p>
    <w:p w14:paraId="634183BD" w14:textId="4F695C42" w:rsidR="00FC74AF" w:rsidRPr="003641FA" w:rsidRDefault="00FC74AF" w:rsidP="00FC74AF">
      <w:pPr>
        <w:pStyle w:val="ListParagraph"/>
        <w:numPr>
          <w:ilvl w:val="0"/>
          <w:numId w:val="41"/>
        </w:numPr>
        <w:rPr>
          <w:i/>
          <w:iCs/>
        </w:rPr>
      </w:pPr>
      <w:r>
        <w:t>Option 1: no</w:t>
      </w:r>
      <w:r w:rsidR="00236188">
        <w:t>t to</w:t>
      </w:r>
      <w:r>
        <w:t xml:space="preserve"> introduce new IE, but just add text</w:t>
      </w:r>
      <w:r w:rsidR="00236188">
        <w:t xml:space="preserve"> about the behaviour</w:t>
      </w:r>
      <w:r>
        <w:t xml:space="preserve">, e.g. “if the UE is an IAB-MT and does not have a PDU session, the AMF shall ignore the PDU session information.” </w:t>
      </w:r>
    </w:p>
    <w:p w14:paraId="225DD135" w14:textId="77777777" w:rsidR="006B4684" w:rsidRPr="00EF5EDB" w:rsidRDefault="006B4684" w:rsidP="003641FA">
      <w:pPr>
        <w:pStyle w:val="ListParagraph"/>
        <w:ind w:left="1185"/>
        <w:rPr>
          <w:i/>
          <w:iCs/>
        </w:rPr>
      </w:pPr>
    </w:p>
    <w:p w14:paraId="56B02A4C" w14:textId="1C1BC654" w:rsidR="00AE2523" w:rsidRDefault="00A72581" w:rsidP="00776B48">
      <w:pPr>
        <w:pStyle w:val="ListParagraph"/>
        <w:numPr>
          <w:ilvl w:val="0"/>
          <w:numId w:val="41"/>
        </w:numPr>
      </w:pPr>
      <w:r>
        <w:t xml:space="preserve">Option </w:t>
      </w:r>
      <w:r w:rsidR="006B4684">
        <w:t>2</w:t>
      </w:r>
      <w:r>
        <w:t xml:space="preserve">: introduce </w:t>
      </w:r>
      <w:r w:rsidR="00AE2523" w:rsidRPr="000A7740">
        <w:rPr>
          <w:i/>
          <w:iCs/>
        </w:rPr>
        <w:t>No PDU Session Indication</w:t>
      </w:r>
      <w:r w:rsidR="00AE2523">
        <w:t xml:space="preserve"> IE in the HANDOVER REQUIRED message and add following text</w:t>
      </w:r>
      <w:r w:rsidR="000A7740">
        <w:t xml:space="preserve"> </w:t>
      </w:r>
      <w:r w:rsidR="00AD646F">
        <w:t xml:space="preserve">about the behavior: </w:t>
      </w:r>
      <w:r w:rsidR="00152818">
        <w:t>“if the</w:t>
      </w:r>
      <w:r w:rsidR="00475C51">
        <w:t xml:space="preserve"> </w:t>
      </w:r>
      <w:r w:rsidR="00152818" w:rsidRPr="000A7740">
        <w:rPr>
          <w:i/>
          <w:iCs/>
        </w:rPr>
        <w:t>No PDU Session Indication</w:t>
      </w:r>
      <w:r w:rsidR="00152818">
        <w:t xml:space="preserve"> IE</w:t>
      </w:r>
      <w:r w:rsidR="00475C51">
        <w:t xml:space="preserve"> is included in the HANDOVER REQUIRED message, the AMF shall ignore the PDU session information. </w:t>
      </w:r>
      <w:r w:rsidR="00152818">
        <w:t>”</w:t>
      </w:r>
      <w:r w:rsidR="00A16210">
        <w:t xml:space="preserve"> </w:t>
      </w:r>
    </w:p>
    <w:p w14:paraId="0A9CC24C" w14:textId="77777777" w:rsidR="00DA463E" w:rsidRDefault="00DA463E" w:rsidP="00DA463E">
      <w:pPr>
        <w:pStyle w:val="ListParagraph"/>
      </w:pPr>
    </w:p>
    <w:p w14:paraId="219E962F" w14:textId="24428F18" w:rsidR="00627634" w:rsidRDefault="00627634" w:rsidP="003641FA">
      <w:pPr>
        <w:pStyle w:val="ListParagraph"/>
      </w:pPr>
      <w:r>
        <w:t xml:space="preserve">Option </w:t>
      </w:r>
      <w:r w:rsidR="006B4684">
        <w:t>1</w:t>
      </w:r>
      <w:r>
        <w:t xml:space="preserve"> may be enough. </w:t>
      </w:r>
    </w:p>
    <w:p w14:paraId="1BC7B4D8" w14:textId="77777777" w:rsidR="00D32022" w:rsidRDefault="00D32022" w:rsidP="00D64101">
      <w:pPr>
        <w:pStyle w:val="ListParagraph"/>
      </w:pPr>
    </w:p>
    <w:p w14:paraId="2DF01868" w14:textId="0805699D" w:rsidR="001D1916" w:rsidRDefault="001D1916" w:rsidP="001D1916">
      <w:pPr>
        <w:pStyle w:val="ListParagraph"/>
        <w:numPr>
          <w:ilvl w:val="0"/>
          <w:numId w:val="40"/>
        </w:numPr>
      </w:pPr>
      <w:r>
        <w:t xml:space="preserve">How does the target </w:t>
      </w:r>
      <w:r w:rsidR="000D431D">
        <w:t>IAB-donor</w:t>
      </w:r>
      <w:r>
        <w:t xml:space="preserve"> handle the NGAP HANDOVER REQUEST message including the </w:t>
      </w:r>
      <w:r w:rsidRPr="009D6298">
        <w:rPr>
          <w:i/>
          <w:iCs/>
        </w:rPr>
        <w:t>PDU Session Resource</w:t>
      </w:r>
      <w:r w:rsidRPr="001D1916">
        <w:rPr>
          <w:i/>
          <w:iCs/>
        </w:rPr>
        <w:t xml:space="preserve"> </w:t>
      </w:r>
      <w:r>
        <w:rPr>
          <w:i/>
          <w:iCs/>
        </w:rPr>
        <w:t>Setup</w:t>
      </w:r>
      <w:r w:rsidRPr="009D6298">
        <w:rPr>
          <w:i/>
          <w:iCs/>
        </w:rPr>
        <w:t xml:space="preserve"> </w:t>
      </w:r>
      <w:r>
        <w:rPr>
          <w:i/>
          <w:iCs/>
        </w:rPr>
        <w:t>L</w:t>
      </w:r>
      <w:r w:rsidRPr="009D6298">
        <w:rPr>
          <w:i/>
          <w:iCs/>
        </w:rPr>
        <w:t>ist</w:t>
      </w:r>
      <w:r>
        <w:t xml:space="preserve"> IE, but the IAB-MT actually does not have a PDU session?</w:t>
      </w:r>
    </w:p>
    <w:p w14:paraId="56E3C29D" w14:textId="77777777" w:rsidR="001F6FF9" w:rsidRDefault="001F6FF9" w:rsidP="001F6FF9">
      <w:pPr>
        <w:pStyle w:val="ListParagraph"/>
      </w:pPr>
    </w:p>
    <w:p w14:paraId="70D6F3BA" w14:textId="32401FAF" w:rsidR="000B7CA6" w:rsidRDefault="000B7CA6" w:rsidP="001F6FF9">
      <w:pPr>
        <w:pStyle w:val="ListParagraph"/>
      </w:pPr>
      <w:r>
        <w:t>Current TS38.413 defines:</w:t>
      </w:r>
    </w:p>
    <w:p w14:paraId="2EBE3050" w14:textId="306194A8" w:rsidR="000B7CA6" w:rsidRPr="003641FA" w:rsidRDefault="000B7CA6" w:rsidP="003641FA">
      <w:pPr>
        <w:overflowPunct/>
        <w:spacing w:after="0"/>
        <w:ind w:left="1124"/>
        <w:jc w:val="left"/>
        <w:textAlignment w:val="auto"/>
        <w:rPr>
          <w:rFonts w:eastAsia="CIDFont+F2" w:cs="Arial"/>
          <w:lang w:val="en-US"/>
        </w:rPr>
      </w:pPr>
      <w:r w:rsidRPr="003641FA">
        <w:rPr>
          <w:rFonts w:eastAsia="CIDFont+F2" w:cs="Arial"/>
          <w:lang w:val="en-US"/>
        </w:rPr>
        <w:t xml:space="preserve">Upon receiving the </w:t>
      </w:r>
      <w:r w:rsidRPr="003641FA">
        <w:rPr>
          <w:rFonts w:eastAsia="CIDFont+F4" w:cs="Arial"/>
          <w:lang w:val="en-US"/>
        </w:rPr>
        <w:t xml:space="preserve">PDU Session Resource Setup List </w:t>
      </w:r>
      <w:r w:rsidRPr="003641FA">
        <w:rPr>
          <w:rFonts w:eastAsia="CIDFont+F2" w:cs="Arial"/>
          <w:lang w:val="en-US"/>
        </w:rPr>
        <w:t>IE contained in the HANDOVER REQUEST message, the target NG-RAN node shall behave the same as defined in the PDU Session Resource Setup procedure.</w:t>
      </w:r>
    </w:p>
    <w:p w14:paraId="47F317A0" w14:textId="77777777" w:rsidR="000B7CA6" w:rsidRDefault="000B7CA6" w:rsidP="000B7CA6">
      <w:pPr>
        <w:pStyle w:val="ListParagraph"/>
      </w:pPr>
    </w:p>
    <w:p w14:paraId="7C957F51" w14:textId="70944BFF" w:rsidR="001F6FF9" w:rsidRDefault="004F2F41" w:rsidP="001F6FF9">
      <w:pPr>
        <w:pStyle w:val="ListParagraph"/>
      </w:pPr>
      <w:r>
        <w:t>In case the IAB-MT does not have PDU session, this paragraph need</w:t>
      </w:r>
      <w:r w:rsidR="004F04E4">
        <w:t>s</w:t>
      </w:r>
      <w:r>
        <w:t xml:space="preserve"> to be modified.</w:t>
      </w:r>
      <w:r w:rsidR="00A64B0E">
        <w:t xml:space="preserve"> </w:t>
      </w:r>
      <w:r w:rsidR="001F6FF9">
        <w:t>The HANDOVER REQUEST message need</w:t>
      </w:r>
      <w:r w:rsidR="00A308DA">
        <w:t>s</w:t>
      </w:r>
      <w:r w:rsidR="001F6FF9">
        <w:t xml:space="preserve"> to have a</w:t>
      </w:r>
      <w:r w:rsidR="00A64B0E">
        <w:t xml:space="preserve"> new</w:t>
      </w:r>
      <w:r w:rsidR="001F6FF9">
        <w:t xml:space="preserve"> indication, e.g. </w:t>
      </w:r>
      <w:r w:rsidR="001F6FF9" w:rsidRPr="000A7740">
        <w:rPr>
          <w:i/>
          <w:iCs/>
        </w:rPr>
        <w:t>No PDU Session Indication</w:t>
      </w:r>
      <w:r w:rsidR="001F6FF9">
        <w:t xml:space="preserve"> IE, to inform target </w:t>
      </w:r>
      <w:r w:rsidR="00A64B0E">
        <w:t>IAB-donor</w:t>
      </w:r>
      <w:r w:rsidR="001F6FF9">
        <w:t xml:space="preserve"> that the </w:t>
      </w:r>
      <w:r w:rsidR="00925EF5">
        <w:t xml:space="preserve">IAB-MT has no PDU session. </w:t>
      </w:r>
    </w:p>
    <w:p w14:paraId="563E0320" w14:textId="77777777" w:rsidR="000B7CA6" w:rsidRDefault="000B7CA6" w:rsidP="001F6FF9">
      <w:pPr>
        <w:pStyle w:val="ListParagraph"/>
      </w:pPr>
    </w:p>
    <w:p w14:paraId="1DE9BA6A" w14:textId="1C388CA0" w:rsidR="001D1916" w:rsidRDefault="00A308DA" w:rsidP="00F17C73">
      <w:pPr>
        <w:ind w:left="360"/>
      </w:pPr>
      <w:r>
        <w:t>This also affects the SA2 spec (TS23.502)</w:t>
      </w:r>
      <w:r w:rsidR="00270EBD">
        <w:t xml:space="preserve">. For example, </w:t>
      </w:r>
      <w:r>
        <w:t>Nsmf operation</w:t>
      </w:r>
      <w:r w:rsidR="00C2474A">
        <w:t xml:space="preserve"> (Step 4, 7</w:t>
      </w:r>
      <w:r w:rsidR="00C103C6">
        <w:t>, 11a, 11f in below figure)</w:t>
      </w:r>
      <w:r w:rsidR="00916CBE">
        <w:t xml:space="preserve"> may </w:t>
      </w:r>
      <w:r w:rsidR="00741E4E">
        <w:t xml:space="preserve">not </w:t>
      </w:r>
      <w:r w:rsidR="00916CBE">
        <w:t>be needed</w:t>
      </w:r>
      <w:r>
        <w:t xml:space="preserve"> when the IAB-MT does not have a PDU session</w:t>
      </w:r>
      <w:r w:rsidR="00C37523">
        <w:t xml:space="preserve"> and should be changed to conditional for IAB-MT</w:t>
      </w:r>
      <w:r>
        <w:t xml:space="preserve">. RAN3 should send a LS to SA2. </w:t>
      </w:r>
    </w:p>
    <w:p w14:paraId="408368B7" w14:textId="474A877D" w:rsidR="007C6C90" w:rsidRDefault="007C6C90" w:rsidP="003641FA">
      <w:pPr>
        <w:ind w:left="360"/>
      </w:pPr>
      <w:r w:rsidRPr="007C6C90">
        <w:rPr>
          <w:noProof/>
        </w:rPr>
        <w:lastRenderedPageBreak/>
        <w:drawing>
          <wp:inline distT="0" distB="0" distL="0" distR="0" wp14:anchorId="5625A7D7" wp14:editId="0DFDE4F1">
            <wp:extent cx="6120765" cy="58058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5805805"/>
                    </a:xfrm>
                    <a:prstGeom prst="rect">
                      <a:avLst/>
                    </a:prstGeom>
                    <a:noFill/>
                    <a:ln>
                      <a:noFill/>
                    </a:ln>
                  </pic:spPr>
                </pic:pic>
              </a:graphicData>
            </a:graphic>
          </wp:inline>
        </w:drawing>
      </w:r>
    </w:p>
    <w:p w14:paraId="0CE4FCAD" w14:textId="77777777" w:rsidR="00452614" w:rsidRDefault="00452614" w:rsidP="00E22A6B">
      <w:pPr>
        <w:pStyle w:val="ListParagraph"/>
        <w:ind w:left="0"/>
      </w:pPr>
    </w:p>
    <w:p w14:paraId="67A5A794" w14:textId="11D704E4" w:rsidR="00452614" w:rsidRPr="003641FA" w:rsidRDefault="00452614" w:rsidP="00E22A6B">
      <w:pPr>
        <w:pStyle w:val="ListParagraph"/>
        <w:ind w:left="0"/>
        <w:rPr>
          <w:b/>
          <w:bCs/>
        </w:rPr>
      </w:pPr>
      <w:r w:rsidRPr="003641FA">
        <w:rPr>
          <w:b/>
          <w:bCs/>
        </w:rPr>
        <w:t>Proposal</w:t>
      </w:r>
      <w:r w:rsidR="007D02B0">
        <w:rPr>
          <w:b/>
          <w:bCs/>
        </w:rPr>
        <w:t xml:space="preserve"> 5</w:t>
      </w:r>
      <w:r w:rsidRPr="003641FA">
        <w:rPr>
          <w:b/>
          <w:bCs/>
        </w:rPr>
        <w:t xml:space="preserve">: </w:t>
      </w:r>
      <w:r w:rsidR="008366C1" w:rsidRPr="00524477">
        <w:rPr>
          <w:b/>
          <w:bCs/>
        </w:rPr>
        <w:t xml:space="preserve">Introduce the </w:t>
      </w:r>
      <w:r w:rsidR="008366C1" w:rsidRPr="003641FA">
        <w:rPr>
          <w:b/>
          <w:bCs/>
          <w:i/>
          <w:iCs/>
        </w:rPr>
        <w:t>No PDU Session Indication</w:t>
      </w:r>
      <w:r w:rsidR="008366C1" w:rsidRPr="003641FA">
        <w:rPr>
          <w:b/>
          <w:bCs/>
        </w:rPr>
        <w:t xml:space="preserve"> IE in the</w:t>
      </w:r>
      <w:r w:rsidR="00524477" w:rsidRPr="003641FA">
        <w:rPr>
          <w:b/>
          <w:bCs/>
        </w:rPr>
        <w:t xml:space="preserve"> HANDOVER REQUEST message</w:t>
      </w:r>
    </w:p>
    <w:p w14:paraId="348700DE" w14:textId="0517BB0E" w:rsidR="00F53F6A" w:rsidRDefault="00524477" w:rsidP="00E22A6B">
      <w:pPr>
        <w:pStyle w:val="ListParagraph"/>
        <w:ind w:left="0"/>
      </w:pPr>
      <w:r>
        <w:t>A draft TS38.413 CR can be found at (</w:t>
      </w:r>
      <w:r w:rsidR="005E240B">
        <w:fldChar w:fldCharType="begin"/>
      </w:r>
      <w:r w:rsidR="005E240B">
        <w:instrText xml:space="preserve"> REF _Ref118219668 \r \h </w:instrText>
      </w:r>
      <w:r w:rsidR="005E240B">
        <w:fldChar w:fldCharType="separate"/>
      </w:r>
      <w:r w:rsidR="005E240B">
        <w:t>[3]</w:t>
      </w:r>
      <w:r w:rsidR="005E240B">
        <w:fldChar w:fldCharType="end"/>
      </w:r>
      <w:r>
        <w:t>)</w:t>
      </w:r>
    </w:p>
    <w:p w14:paraId="2D69BEBE" w14:textId="77777777" w:rsidR="005E240B" w:rsidRDefault="005E240B" w:rsidP="00E22A6B">
      <w:pPr>
        <w:pStyle w:val="ListParagraph"/>
        <w:ind w:left="0"/>
      </w:pPr>
    </w:p>
    <w:p w14:paraId="13E00808" w14:textId="00E368DD" w:rsidR="005E240B" w:rsidRPr="003641FA" w:rsidRDefault="005E240B" w:rsidP="00E22A6B">
      <w:pPr>
        <w:pStyle w:val="ListParagraph"/>
        <w:ind w:left="0"/>
        <w:rPr>
          <w:b/>
          <w:bCs/>
        </w:rPr>
      </w:pPr>
      <w:r w:rsidRPr="003641FA">
        <w:rPr>
          <w:b/>
          <w:bCs/>
        </w:rPr>
        <w:t xml:space="preserve">Proposal </w:t>
      </w:r>
      <w:r w:rsidR="007D02B0">
        <w:rPr>
          <w:b/>
          <w:bCs/>
        </w:rPr>
        <w:t>6</w:t>
      </w:r>
      <w:r w:rsidRPr="003641FA">
        <w:rPr>
          <w:b/>
          <w:bCs/>
        </w:rPr>
        <w:t xml:space="preserve">: </w:t>
      </w:r>
      <w:r>
        <w:rPr>
          <w:b/>
          <w:bCs/>
        </w:rPr>
        <w:t>RAN3 send LS to SA2 asking for the support for NG-HO without PDU session for the IAB-MT.</w:t>
      </w:r>
    </w:p>
    <w:p w14:paraId="3A7230C9" w14:textId="77777777" w:rsidR="00F37F46" w:rsidRDefault="00F37F46" w:rsidP="001712FF">
      <w:pPr>
        <w:pStyle w:val="ListParagraph"/>
      </w:pPr>
    </w:p>
    <w:p w14:paraId="0593D7D8" w14:textId="77777777" w:rsidR="00086443" w:rsidRDefault="00086443" w:rsidP="00D963DA">
      <w:pPr>
        <w:overflowPunct/>
        <w:autoSpaceDE/>
        <w:autoSpaceDN/>
        <w:adjustRightInd/>
        <w:spacing w:after="0"/>
        <w:jc w:val="left"/>
        <w:textAlignment w:val="auto"/>
      </w:pPr>
    </w:p>
    <w:p w14:paraId="374D50FB" w14:textId="008C9E71" w:rsidR="00C7556E" w:rsidRDefault="00C7556E" w:rsidP="00C7556E">
      <w:pPr>
        <w:pStyle w:val="Heading1"/>
      </w:pPr>
      <w:r>
        <w:t>Conclusions</w:t>
      </w:r>
    </w:p>
    <w:p w14:paraId="2C288EBE" w14:textId="7DC9E739" w:rsidR="00C7556E" w:rsidRDefault="000A7325" w:rsidP="00C7556E">
      <w:pPr>
        <w:spacing w:after="180"/>
        <w:jc w:val="left"/>
      </w:pPr>
      <w:r>
        <w:t xml:space="preserve">For </w:t>
      </w:r>
      <w:r w:rsidR="00EA478C">
        <w:t>IAB-D</w:t>
      </w:r>
      <w:r w:rsidR="0060731F">
        <w:t>U</w:t>
      </w:r>
      <w:r w:rsidR="00EA478C">
        <w:t xml:space="preserve"> migration</w:t>
      </w:r>
      <w:r>
        <w:t>, our proposals are:</w:t>
      </w:r>
    </w:p>
    <w:p w14:paraId="35308BBA" w14:textId="77777777" w:rsidR="00A35C90" w:rsidRPr="00625E09" w:rsidRDefault="00A35C90" w:rsidP="00A35C90">
      <w:pPr>
        <w:rPr>
          <w:b/>
          <w:bCs/>
        </w:rPr>
      </w:pPr>
      <w:r>
        <w:rPr>
          <w:b/>
          <w:bCs/>
        </w:rPr>
        <w:t>Proposal 1: during the consecutive partial migration, t</w:t>
      </w:r>
      <w:r w:rsidRPr="00625E09">
        <w:rPr>
          <w:b/>
          <w:bCs/>
        </w:rPr>
        <w:t xml:space="preserve">he source donor CU provides to the </w:t>
      </w:r>
      <w:r>
        <w:rPr>
          <w:b/>
          <w:bCs/>
        </w:rPr>
        <w:t xml:space="preserve">target </w:t>
      </w:r>
      <w:r w:rsidRPr="00625E09">
        <w:rPr>
          <w:b/>
          <w:bCs/>
        </w:rPr>
        <w:t xml:space="preserve">donor CU </w:t>
      </w:r>
      <w:r>
        <w:rPr>
          <w:b/>
          <w:bCs/>
        </w:rPr>
        <w:t xml:space="preserve">about the XnAP UE ID of the IAB-MT assigned by the F1-terminating IAB-donor-CU during the Handover preparation procedure. </w:t>
      </w:r>
    </w:p>
    <w:p w14:paraId="1D42083E" w14:textId="77777777" w:rsidR="00A35C90" w:rsidRDefault="00A35C90" w:rsidP="00A35C90">
      <w:pPr>
        <w:rPr>
          <w:b/>
          <w:bCs/>
        </w:rPr>
      </w:pPr>
      <w:r>
        <w:rPr>
          <w:b/>
          <w:bCs/>
        </w:rPr>
        <w:t xml:space="preserve">Proposal 2: change the following WA to an agreement and remove FFS, i.e. </w:t>
      </w:r>
    </w:p>
    <w:p w14:paraId="0942E3FB" w14:textId="77777777" w:rsidR="00A35C90" w:rsidRPr="00B73946" w:rsidRDefault="00A35C90" w:rsidP="00A35C90">
      <w:pPr>
        <w:widowControl w:val="0"/>
        <w:ind w:left="562"/>
        <w:rPr>
          <w:b/>
          <w:bCs/>
        </w:rPr>
      </w:pPr>
      <w:r>
        <w:rPr>
          <w:b/>
          <w:bCs/>
        </w:rPr>
        <w:t>Introduce a new XnAP procedure to allow t</w:t>
      </w:r>
      <w:r w:rsidRPr="00B73946">
        <w:rPr>
          <w:b/>
          <w:bCs/>
        </w:rPr>
        <w:t xml:space="preserve">he source donor CU for the mIAB-MT HO </w:t>
      </w:r>
      <w:r w:rsidRPr="516FA8A0">
        <w:rPr>
          <w:b/>
          <w:bCs/>
        </w:rPr>
        <w:t xml:space="preserve">to </w:t>
      </w:r>
      <w:r w:rsidRPr="00B73946">
        <w:rPr>
          <w:b/>
          <w:bCs/>
        </w:rPr>
        <w:t>provide to the donor CU serving the mIAB-DU at least the:</w:t>
      </w:r>
    </w:p>
    <w:p w14:paraId="6630C329" w14:textId="77777777" w:rsidR="00A35C90" w:rsidRPr="00B73946" w:rsidRDefault="00A35C90" w:rsidP="00A35C90">
      <w:pPr>
        <w:widowControl w:val="0"/>
        <w:ind w:left="562"/>
        <w:rPr>
          <w:b/>
          <w:bCs/>
        </w:rPr>
      </w:pPr>
      <w:r w:rsidRPr="00B73946">
        <w:rPr>
          <w:b/>
          <w:bCs/>
        </w:rPr>
        <w:lastRenderedPageBreak/>
        <w:t>•</w:t>
      </w:r>
      <w:r w:rsidRPr="00B73946">
        <w:rPr>
          <w:b/>
          <w:bCs/>
        </w:rPr>
        <w:tab/>
        <w:t>gNB ID of the target donor CU for the mIAB-MT HO.</w:t>
      </w:r>
    </w:p>
    <w:p w14:paraId="77BBF7D3" w14:textId="77777777" w:rsidR="00A35C90" w:rsidRDefault="00A35C90" w:rsidP="00A35C90">
      <w:pPr>
        <w:widowControl w:val="0"/>
        <w:ind w:left="562"/>
        <w:rPr>
          <w:b/>
          <w:bCs/>
        </w:rPr>
      </w:pPr>
      <w:r w:rsidRPr="00B73946">
        <w:rPr>
          <w:b/>
          <w:bCs/>
        </w:rPr>
        <w:t>•</w:t>
      </w:r>
      <w:r w:rsidRPr="00B73946">
        <w:rPr>
          <w:b/>
          <w:bCs/>
        </w:rPr>
        <w:tab/>
      </w:r>
      <w:r>
        <w:rPr>
          <w:b/>
          <w:bCs/>
        </w:rPr>
        <w:t>the XnAP UE ID assigned by the target donor of the mIAB-MT HO.</w:t>
      </w:r>
    </w:p>
    <w:p w14:paraId="011F4421" w14:textId="77777777" w:rsidR="00A35C90" w:rsidRPr="00B73946" w:rsidRDefault="00A35C90" w:rsidP="00A35C90">
      <w:pPr>
        <w:widowControl w:val="0"/>
        <w:ind w:left="562"/>
        <w:rPr>
          <w:b/>
          <w:bCs/>
        </w:rPr>
      </w:pPr>
      <w:r w:rsidRPr="00B73946">
        <w:rPr>
          <w:b/>
          <w:bCs/>
        </w:rPr>
        <w:t>•</w:t>
      </w:r>
      <w:r w:rsidRPr="00B73946">
        <w:rPr>
          <w:b/>
          <w:bCs/>
        </w:rPr>
        <w:tab/>
        <w:t xml:space="preserve">the TNL address of the target donor CU for the mIAB-MT HO. </w:t>
      </w:r>
    </w:p>
    <w:p w14:paraId="426CB467" w14:textId="77777777" w:rsidR="00A35C90" w:rsidRDefault="00A35C90" w:rsidP="00A35C90">
      <w:pPr>
        <w:rPr>
          <w:b/>
          <w:bCs/>
        </w:rPr>
      </w:pPr>
      <w:r>
        <w:rPr>
          <w:b/>
          <w:bCs/>
        </w:rPr>
        <w:t xml:space="preserve">Proposal 3: When there is a need, the full migration is performed after the completion of Rel-17 partial migration. </w:t>
      </w:r>
    </w:p>
    <w:p w14:paraId="5BC55ADF" w14:textId="77777777" w:rsidR="00A35C90" w:rsidRPr="00B108B7" w:rsidRDefault="00A35C90" w:rsidP="00A35C90">
      <w:pPr>
        <w:pStyle w:val="ListParagraph"/>
        <w:ind w:left="0"/>
        <w:rPr>
          <w:b/>
          <w:bCs/>
        </w:rPr>
      </w:pPr>
      <w:r w:rsidRPr="00B108B7">
        <w:rPr>
          <w:b/>
          <w:bCs/>
        </w:rPr>
        <w:t>Proposal 4: use same procedure (i.e. Xn or F1) to inform the source donor CU for mIAB-DU migration that the second logical mIAB-DU has successfully established an F1 connection towards the target CU, and the cell ID mapping from the first logical mIAB-DU cell to the second logical mIAB-DU cell.</w:t>
      </w:r>
    </w:p>
    <w:p w14:paraId="4DECBBB5" w14:textId="77777777" w:rsidR="0060731F" w:rsidRDefault="0060731F" w:rsidP="00C7556E">
      <w:pPr>
        <w:spacing w:after="180"/>
        <w:jc w:val="left"/>
      </w:pPr>
    </w:p>
    <w:p w14:paraId="772AF487" w14:textId="77777777" w:rsidR="00A35C90" w:rsidRDefault="00A35C90" w:rsidP="00A35C90">
      <w:pPr>
        <w:pStyle w:val="ListParagraph"/>
        <w:ind w:left="0"/>
      </w:pPr>
      <w:r>
        <w:rPr>
          <w:b/>
          <w:bCs/>
        </w:rPr>
        <w:t xml:space="preserve">Observation 1: NG-HO can be used to handover the IAB-MT to target IAB-donor. </w:t>
      </w:r>
      <w:r>
        <w:t xml:space="preserve"> </w:t>
      </w:r>
    </w:p>
    <w:p w14:paraId="466EF5D2" w14:textId="77777777" w:rsidR="00D574B1" w:rsidRDefault="00D574B1" w:rsidP="00A35C90">
      <w:pPr>
        <w:pStyle w:val="ListParagraph"/>
        <w:ind w:left="0"/>
        <w:rPr>
          <w:b/>
          <w:bCs/>
        </w:rPr>
      </w:pPr>
    </w:p>
    <w:p w14:paraId="636DF907" w14:textId="6BDADD76" w:rsidR="00A35C90" w:rsidRPr="003641FA" w:rsidRDefault="00A35C90" w:rsidP="00A35C90">
      <w:pPr>
        <w:pStyle w:val="ListParagraph"/>
        <w:ind w:left="0"/>
        <w:rPr>
          <w:b/>
          <w:bCs/>
        </w:rPr>
      </w:pPr>
      <w:r w:rsidRPr="003641FA">
        <w:rPr>
          <w:b/>
          <w:bCs/>
        </w:rPr>
        <w:t>Proposal</w:t>
      </w:r>
      <w:r>
        <w:rPr>
          <w:b/>
          <w:bCs/>
        </w:rPr>
        <w:t xml:space="preserve"> 5</w:t>
      </w:r>
      <w:r w:rsidRPr="003641FA">
        <w:rPr>
          <w:b/>
          <w:bCs/>
        </w:rPr>
        <w:t xml:space="preserve">: </w:t>
      </w:r>
      <w:r w:rsidRPr="00524477">
        <w:rPr>
          <w:b/>
          <w:bCs/>
        </w:rPr>
        <w:t xml:space="preserve">Introduce the </w:t>
      </w:r>
      <w:r w:rsidRPr="003641FA">
        <w:rPr>
          <w:b/>
          <w:bCs/>
          <w:i/>
          <w:iCs/>
        </w:rPr>
        <w:t>No PDU Session Indication</w:t>
      </w:r>
      <w:r w:rsidRPr="003641FA">
        <w:rPr>
          <w:b/>
          <w:bCs/>
        </w:rPr>
        <w:t xml:space="preserve"> IE in the HANDOVER REQUEST message</w:t>
      </w:r>
    </w:p>
    <w:p w14:paraId="0CF766A0" w14:textId="77777777" w:rsidR="00A35C90" w:rsidRDefault="00A35C90" w:rsidP="00A35C90">
      <w:pPr>
        <w:pStyle w:val="ListParagraph"/>
        <w:ind w:left="0"/>
      </w:pPr>
      <w:r>
        <w:t>A draft TS38.413 CR can be found at (</w:t>
      </w:r>
      <w:r>
        <w:fldChar w:fldCharType="begin"/>
      </w:r>
      <w:r>
        <w:instrText xml:space="preserve"> REF _Ref118219668 \r \h </w:instrText>
      </w:r>
      <w:r>
        <w:fldChar w:fldCharType="separate"/>
      </w:r>
      <w:r>
        <w:t>[3]</w:t>
      </w:r>
      <w:r>
        <w:fldChar w:fldCharType="end"/>
      </w:r>
      <w:r>
        <w:t>)</w:t>
      </w:r>
    </w:p>
    <w:p w14:paraId="0A28BCE1" w14:textId="77777777" w:rsidR="00A35C90" w:rsidRDefault="00A35C90" w:rsidP="00A35C90">
      <w:pPr>
        <w:pStyle w:val="ListParagraph"/>
        <w:ind w:left="0"/>
      </w:pPr>
    </w:p>
    <w:p w14:paraId="57E2B26B" w14:textId="77777777" w:rsidR="00A35C90" w:rsidRDefault="00A35C90" w:rsidP="00A35C90">
      <w:pPr>
        <w:pStyle w:val="ListParagraph"/>
        <w:ind w:left="0"/>
        <w:rPr>
          <w:b/>
          <w:bCs/>
        </w:rPr>
      </w:pPr>
      <w:r w:rsidRPr="003641FA">
        <w:rPr>
          <w:b/>
          <w:bCs/>
        </w:rPr>
        <w:t xml:space="preserve">Proposal </w:t>
      </w:r>
      <w:r>
        <w:rPr>
          <w:b/>
          <w:bCs/>
        </w:rPr>
        <w:t>6</w:t>
      </w:r>
      <w:r w:rsidRPr="003641FA">
        <w:rPr>
          <w:b/>
          <w:bCs/>
        </w:rPr>
        <w:t xml:space="preserve">: </w:t>
      </w:r>
      <w:r>
        <w:rPr>
          <w:b/>
          <w:bCs/>
        </w:rPr>
        <w:t>RAN3 send LS to SA2 asking for the support for NG-HO without PDU session for the IAB-MT.</w:t>
      </w:r>
    </w:p>
    <w:p w14:paraId="327615EA" w14:textId="77777777" w:rsidR="00FD1A4C" w:rsidRPr="003641FA" w:rsidRDefault="00FD1A4C" w:rsidP="00A35C90">
      <w:pPr>
        <w:pStyle w:val="ListParagraph"/>
        <w:ind w:left="0"/>
        <w:rPr>
          <w:b/>
          <w:bCs/>
        </w:rPr>
      </w:pPr>
    </w:p>
    <w:p w14:paraId="38EB08E5" w14:textId="77777777" w:rsidR="009443C0" w:rsidRDefault="009443C0" w:rsidP="009443C0">
      <w:pPr>
        <w:pStyle w:val="Heading1"/>
      </w:pPr>
      <w:r>
        <w:t>References</w:t>
      </w:r>
    </w:p>
    <w:p w14:paraId="272F60A9" w14:textId="08CCB1A8" w:rsidR="009443C0" w:rsidRDefault="00E86720" w:rsidP="009443C0">
      <w:pPr>
        <w:numPr>
          <w:ilvl w:val="0"/>
          <w:numId w:val="21"/>
        </w:numPr>
        <w:spacing w:after="180"/>
        <w:jc w:val="left"/>
      </w:pPr>
      <w:r w:rsidRPr="00E86720">
        <w:t>RP-221815</w:t>
      </w:r>
      <w:r>
        <w:t xml:space="preserve"> New </w:t>
      </w:r>
      <w:r w:rsidR="009443C0">
        <w:t>WID</w:t>
      </w:r>
      <w:r>
        <w:t xml:space="preserve"> on Mobile IAB</w:t>
      </w:r>
    </w:p>
    <w:p w14:paraId="3C4A479C" w14:textId="713E5D22" w:rsidR="00CD0481" w:rsidRPr="00524477" w:rsidRDefault="00931A1E" w:rsidP="00931A1E">
      <w:pPr>
        <w:numPr>
          <w:ilvl w:val="0"/>
          <w:numId w:val="21"/>
        </w:numPr>
        <w:spacing w:after="180"/>
        <w:jc w:val="left"/>
        <w:rPr>
          <w:lang w:val="en-US"/>
        </w:rPr>
      </w:pPr>
      <w:r w:rsidRPr="00931A1E">
        <w:t>R3-225937, CB # IAB2_Mobility - Summary of email discussion</w:t>
      </w:r>
    </w:p>
    <w:p w14:paraId="70743E60" w14:textId="3A32A27E" w:rsidR="00524477" w:rsidRPr="00653DDF" w:rsidRDefault="00524477" w:rsidP="00931A1E">
      <w:pPr>
        <w:numPr>
          <w:ilvl w:val="0"/>
          <w:numId w:val="21"/>
        </w:numPr>
        <w:spacing w:after="180"/>
        <w:jc w:val="left"/>
        <w:rPr>
          <w:lang w:val="en-US"/>
        </w:rPr>
      </w:pPr>
      <w:bookmarkStart w:id="2" w:name="_Ref118219668"/>
      <w:r>
        <w:rPr>
          <w:lang w:val="en-US"/>
        </w:rPr>
        <w:t>R3-</w:t>
      </w:r>
      <w:r w:rsidR="00692AAC">
        <w:rPr>
          <w:lang w:val="en-US"/>
        </w:rPr>
        <w:t>226310</w:t>
      </w:r>
      <w:r>
        <w:rPr>
          <w:lang w:val="en-US"/>
        </w:rPr>
        <w:t>, CR for TS38.413</w:t>
      </w:r>
      <w:bookmarkEnd w:id="2"/>
    </w:p>
    <w:sectPr w:rsidR="00524477" w:rsidRPr="00653DDF" w:rsidSect="009443C0">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925BB" w14:textId="77777777" w:rsidR="00905F9B" w:rsidRDefault="00905F9B">
      <w:r>
        <w:separator/>
      </w:r>
    </w:p>
  </w:endnote>
  <w:endnote w:type="continuationSeparator" w:id="0">
    <w:p w14:paraId="25CCEF07" w14:textId="77777777" w:rsidR="00905F9B" w:rsidRDefault="00905F9B">
      <w:r>
        <w:continuationSeparator/>
      </w:r>
    </w:p>
  </w:endnote>
  <w:endnote w:type="continuationNotice" w:id="1">
    <w:p w14:paraId="45E10D3D" w14:textId="77777777" w:rsidR="00905F9B" w:rsidRDefault="00905F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CIDFont+F2">
    <w:altName w:val="微软雅黑"/>
    <w:panose1 w:val="00000000000000000000"/>
    <w:charset w:val="86"/>
    <w:family w:val="auto"/>
    <w:notTrueType/>
    <w:pitch w:val="default"/>
    <w:sig w:usb0="00000001" w:usb1="080E0000" w:usb2="00000010" w:usb3="00000000" w:csb0="00040000" w:csb1="00000000"/>
  </w:font>
  <w:font w:name="CIDFont+F4">
    <w:altName w:val="微软雅黑"/>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09343" w14:textId="77777777" w:rsidR="00905F9B" w:rsidRDefault="00905F9B">
      <w:r>
        <w:separator/>
      </w:r>
    </w:p>
  </w:footnote>
  <w:footnote w:type="continuationSeparator" w:id="0">
    <w:p w14:paraId="43E6D11F" w14:textId="77777777" w:rsidR="00905F9B" w:rsidRDefault="00905F9B">
      <w:r>
        <w:continuationSeparator/>
      </w:r>
    </w:p>
  </w:footnote>
  <w:footnote w:type="continuationNotice" w:id="1">
    <w:p w14:paraId="3353B605" w14:textId="77777777" w:rsidR="00905F9B" w:rsidRDefault="00905F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CC779E"/>
    <w:multiLevelType w:val="hybridMultilevel"/>
    <w:tmpl w:val="B544A368"/>
    <w:lvl w:ilvl="0" w:tplc="5AC6DA80">
      <w:numFmt w:val="bullet"/>
      <w:lvlText w:val="•"/>
      <w:lvlJc w:val="left"/>
      <w:pPr>
        <w:ind w:left="1080" w:hanging="720"/>
      </w:pPr>
      <w:rPr>
        <w:rFonts w:ascii="Calibri" w:eastAsia="Calibri" w:hAnsi="Calibri" w:cs="Calibri" w:hint="default"/>
      </w:rPr>
    </w:lvl>
    <w:lvl w:ilvl="1" w:tplc="924CF1A0">
      <w:numFmt w:val="bullet"/>
      <w:lvlText w:val=""/>
      <w:lvlJc w:val="left"/>
      <w:pPr>
        <w:ind w:left="1800" w:hanging="720"/>
      </w:pPr>
      <w:rPr>
        <w:rFonts w:ascii="Symbol" w:eastAsia="Calibri"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BD0F1B"/>
    <w:multiLevelType w:val="hybridMultilevel"/>
    <w:tmpl w:val="B484C4CA"/>
    <w:lvl w:ilvl="0" w:tplc="6C989990">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DD700C0"/>
    <w:multiLevelType w:val="hybridMultilevel"/>
    <w:tmpl w:val="A80EB496"/>
    <w:lvl w:ilvl="0" w:tplc="AE1CE55C">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CD5702"/>
    <w:multiLevelType w:val="hybridMultilevel"/>
    <w:tmpl w:val="710EAA64"/>
    <w:lvl w:ilvl="0" w:tplc="040B0001">
      <w:start w:val="1"/>
      <w:numFmt w:val="bullet"/>
      <w:lvlText w:val=""/>
      <w:lvlJc w:val="left"/>
      <w:pPr>
        <w:ind w:left="1387" w:hanging="360"/>
      </w:pPr>
      <w:rPr>
        <w:rFonts w:ascii="Symbol" w:hAnsi="Symbol" w:hint="default"/>
      </w:rPr>
    </w:lvl>
    <w:lvl w:ilvl="1" w:tplc="040B0003" w:tentative="1">
      <w:start w:val="1"/>
      <w:numFmt w:val="bullet"/>
      <w:lvlText w:val="o"/>
      <w:lvlJc w:val="left"/>
      <w:pPr>
        <w:ind w:left="2107" w:hanging="360"/>
      </w:pPr>
      <w:rPr>
        <w:rFonts w:ascii="Courier New" w:hAnsi="Courier New" w:cs="Courier New" w:hint="default"/>
      </w:rPr>
    </w:lvl>
    <w:lvl w:ilvl="2" w:tplc="040B0005" w:tentative="1">
      <w:start w:val="1"/>
      <w:numFmt w:val="bullet"/>
      <w:lvlText w:val=""/>
      <w:lvlJc w:val="left"/>
      <w:pPr>
        <w:ind w:left="2827" w:hanging="360"/>
      </w:pPr>
      <w:rPr>
        <w:rFonts w:ascii="Wingdings" w:hAnsi="Wingdings" w:hint="default"/>
      </w:rPr>
    </w:lvl>
    <w:lvl w:ilvl="3" w:tplc="040B0001" w:tentative="1">
      <w:start w:val="1"/>
      <w:numFmt w:val="bullet"/>
      <w:lvlText w:val=""/>
      <w:lvlJc w:val="left"/>
      <w:pPr>
        <w:ind w:left="3547" w:hanging="360"/>
      </w:pPr>
      <w:rPr>
        <w:rFonts w:ascii="Symbol" w:hAnsi="Symbol" w:hint="default"/>
      </w:rPr>
    </w:lvl>
    <w:lvl w:ilvl="4" w:tplc="040B0003" w:tentative="1">
      <w:start w:val="1"/>
      <w:numFmt w:val="bullet"/>
      <w:lvlText w:val="o"/>
      <w:lvlJc w:val="left"/>
      <w:pPr>
        <w:ind w:left="4267" w:hanging="360"/>
      </w:pPr>
      <w:rPr>
        <w:rFonts w:ascii="Courier New" w:hAnsi="Courier New" w:cs="Courier New" w:hint="default"/>
      </w:rPr>
    </w:lvl>
    <w:lvl w:ilvl="5" w:tplc="040B0005" w:tentative="1">
      <w:start w:val="1"/>
      <w:numFmt w:val="bullet"/>
      <w:lvlText w:val=""/>
      <w:lvlJc w:val="left"/>
      <w:pPr>
        <w:ind w:left="4987" w:hanging="360"/>
      </w:pPr>
      <w:rPr>
        <w:rFonts w:ascii="Wingdings" w:hAnsi="Wingdings" w:hint="default"/>
      </w:rPr>
    </w:lvl>
    <w:lvl w:ilvl="6" w:tplc="040B0001" w:tentative="1">
      <w:start w:val="1"/>
      <w:numFmt w:val="bullet"/>
      <w:lvlText w:val=""/>
      <w:lvlJc w:val="left"/>
      <w:pPr>
        <w:ind w:left="5707" w:hanging="360"/>
      </w:pPr>
      <w:rPr>
        <w:rFonts w:ascii="Symbol" w:hAnsi="Symbol" w:hint="default"/>
      </w:rPr>
    </w:lvl>
    <w:lvl w:ilvl="7" w:tplc="040B0003" w:tentative="1">
      <w:start w:val="1"/>
      <w:numFmt w:val="bullet"/>
      <w:lvlText w:val="o"/>
      <w:lvlJc w:val="left"/>
      <w:pPr>
        <w:ind w:left="6427" w:hanging="360"/>
      </w:pPr>
      <w:rPr>
        <w:rFonts w:ascii="Courier New" w:hAnsi="Courier New" w:cs="Courier New" w:hint="default"/>
      </w:rPr>
    </w:lvl>
    <w:lvl w:ilvl="8" w:tplc="040B0005" w:tentative="1">
      <w:start w:val="1"/>
      <w:numFmt w:val="bullet"/>
      <w:lvlText w:val=""/>
      <w:lvlJc w:val="left"/>
      <w:pPr>
        <w:ind w:left="7147"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9"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 w15:restartNumberingAfterBreak="0">
    <w:nsid w:val="3A644B28"/>
    <w:multiLevelType w:val="hybridMultilevel"/>
    <w:tmpl w:val="25989D30"/>
    <w:lvl w:ilvl="0" w:tplc="11A8BD70">
      <w:start w:val="8"/>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1F1D29"/>
    <w:multiLevelType w:val="multilevel"/>
    <w:tmpl w:val="4F1F1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9"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0"/>
  </w:num>
  <w:num w:numId="3">
    <w:abstractNumId w:val="24"/>
  </w:num>
  <w:num w:numId="4">
    <w:abstractNumId w:val="21"/>
  </w:num>
  <w:num w:numId="5">
    <w:abstractNumId w:val="22"/>
  </w:num>
  <w:num w:numId="6">
    <w:abstractNumId w:val="15"/>
  </w:num>
  <w:num w:numId="7">
    <w:abstractNumId w:val="23"/>
  </w:num>
  <w:num w:numId="8">
    <w:abstractNumId w:val="30"/>
  </w:num>
  <w:num w:numId="9">
    <w:abstractNumId w:val="16"/>
  </w:num>
  <w:num w:numId="10">
    <w:abstractNumId w:val="26"/>
  </w:num>
  <w:num w:numId="11">
    <w:abstractNumId w:val="32"/>
  </w:num>
  <w:num w:numId="12">
    <w:abstractNumId w:val="40"/>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10"/>
  </w:num>
  <w:num w:numId="18">
    <w:abstractNumId w:val="29"/>
  </w:num>
  <w:num w:numId="19">
    <w:abstractNumId w:val="39"/>
  </w:num>
  <w:num w:numId="20">
    <w:abstractNumId w:val="13"/>
  </w:num>
  <w:num w:numId="21">
    <w:abstractNumId w:val="2"/>
  </w:num>
  <w:num w:numId="22">
    <w:abstractNumId w:val="27"/>
    <w:lvlOverride w:ilvl="0">
      <w:startOverride w:val="1"/>
    </w:lvlOverride>
  </w:num>
  <w:num w:numId="23">
    <w:abstractNumId w:val="3"/>
  </w:num>
  <w:num w:numId="24">
    <w:abstractNumId w:val="11"/>
  </w:num>
  <w:num w:numId="25">
    <w:abstractNumId w:val="6"/>
  </w:num>
  <w:num w:numId="26">
    <w:abstractNumId w:val="19"/>
  </w:num>
  <w:num w:numId="27">
    <w:abstractNumId w:val="33"/>
  </w:num>
  <w:num w:numId="28">
    <w:abstractNumId w:val="35"/>
  </w:num>
  <w:num w:numId="29">
    <w:abstractNumId w:val="17"/>
  </w:num>
  <w:num w:numId="30">
    <w:abstractNumId w:val="34"/>
  </w:num>
  <w:num w:numId="31">
    <w:abstractNumId w:val="38"/>
  </w:num>
  <w:num w:numId="32">
    <w:abstractNumId w:val="36"/>
  </w:num>
  <w:num w:numId="33">
    <w:abstractNumId w:val="8"/>
  </w:num>
  <w:num w:numId="34">
    <w:abstractNumId w:val="12"/>
  </w:num>
  <w:num w:numId="35">
    <w:abstractNumId w:val="7"/>
  </w:num>
  <w:num w:numId="36">
    <w:abstractNumId w:val="4"/>
  </w:num>
  <w:num w:numId="37">
    <w:abstractNumId w:val="1"/>
  </w:num>
  <w:num w:numId="38">
    <w:abstractNumId w:val="14"/>
  </w:num>
  <w:num w:numId="39">
    <w:abstractNumId w:val="9"/>
  </w:num>
  <w:num w:numId="40">
    <w:abstractNumId w:val="25"/>
  </w:num>
  <w:num w:numId="41">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1E5C"/>
    <w:rsid w:val="00002A37"/>
    <w:rsid w:val="00002BEA"/>
    <w:rsid w:val="00003047"/>
    <w:rsid w:val="0000324D"/>
    <w:rsid w:val="00003AB7"/>
    <w:rsid w:val="00005436"/>
    <w:rsid w:val="0000550E"/>
    <w:rsid w:val="00006446"/>
    <w:rsid w:val="0000644B"/>
    <w:rsid w:val="00006896"/>
    <w:rsid w:val="00006B58"/>
    <w:rsid w:val="00006EF6"/>
    <w:rsid w:val="0000769D"/>
    <w:rsid w:val="00007CDC"/>
    <w:rsid w:val="00007DB9"/>
    <w:rsid w:val="00010E26"/>
    <w:rsid w:val="00011011"/>
    <w:rsid w:val="0001132D"/>
    <w:rsid w:val="00011B28"/>
    <w:rsid w:val="00011CA9"/>
    <w:rsid w:val="00011CAD"/>
    <w:rsid w:val="00012C3B"/>
    <w:rsid w:val="00013095"/>
    <w:rsid w:val="000135E0"/>
    <w:rsid w:val="00014C3B"/>
    <w:rsid w:val="00014CC2"/>
    <w:rsid w:val="00015BE3"/>
    <w:rsid w:val="00015D15"/>
    <w:rsid w:val="00015D77"/>
    <w:rsid w:val="000163D0"/>
    <w:rsid w:val="00016911"/>
    <w:rsid w:val="00017038"/>
    <w:rsid w:val="000179D1"/>
    <w:rsid w:val="000200F0"/>
    <w:rsid w:val="0002084C"/>
    <w:rsid w:val="000212A2"/>
    <w:rsid w:val="00021FEB"/>
    <w:rsid w:val="00022116"/>
    <w:rsid w:val="000226EB"/>
    <w:rsid w:val="000229C4"/>
    <w:rsid w:val="00022B47"/>
    <w:rsid w:val="00022DA7"/>
    <w:rsid w:val="000238DA"/>
    <w:rsid w:val="000243BC"/>
    <w:rsid w:val="000244B4"/>
    <w:rsid w:val="000247D1"/>
    <w:rsid w:val="00025301"/>
    <w:rsid w:val="00025408"/>
    <w:rsid w:val="0002564D"/>
    <w:rsid w:val="00025ECA"/>
    <w:rsid w:val="0002600C"/>
    <w:rsid w:val="00027939"/>
    <w:rsid w:val="000302A3"/>
    <w:rsid w:val="0003063B"/>
    <w:rsid w:val="000325B8"/>
    <w:rsid w:val="00033087"/>
    <w:rsid w:val="0003369F"/>
    <w:rsid w:val="00033812"/>
    <w:rsid w:val="00033EC4"/>
    <w:rsid w:val="00034C15"/>
    <w:rsid w:val="00035648"/>
    <w:rsid w:val="0003568B"/>
    <w:rsid w:val="0003587C"/>
    <w:rsid w:val="000362A2"/>
    <w:rsid w:val="00036318"/>
    <w:rsid w:val="0003689A"/>
    <w:rsid w:val="00036BA1"/>
    <w:rsid w:val="00036BC6"/>
    <w:rsid w:val="0003719B"/>
    <w:rsid w:val="00041145"/>
    <w:rsid w:val="00041DE7"/>
    <w:rsid w:val="000420D6"/>
    <w:rsid w:val="000422E2"/>
    <w:rsid w:val="00042F22"/>
    <w:rsid w:val="0004367E"/>
    <w:rsid w:val="0004377C"/>
    <w:rsid w:val="00044224"/>
    <w:rsid w:val="000444EF"/>
    <w:rsid w:val="000461C1"/>
    <w:rsid w:val="00046C83"/>
    <w:rsid w:val="000474B3"/>
    <w:rsid w:val="000503B8"/>
    <w:rsid w:val="000505C9"/>
    <w:rsid w:val="000509BB"/>
    <w:rsid w:val="0005153D"/>
    <w:rsid w:val="00051FB9"/>
    <w:rsid w:val="00052A07"/>
    <w:rsid w:val="00052AC2"/>
    <w:rsid w:val="000534E3"/>
    <w:rsid w:val="00053EF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33A1"/>
    <w:rsid w:val="000646B2"/>
    <w:rsid w:val="0006487E"/>
    <w:rsid w:val="00064BD5"/>
    <w:rsid w:val="00065184"/>
    <w:rsid w:val="00065809"/>
    <w:rsid w:val="000659CB"/>
    <w:rsid w:val="00065E1A"/>
    <w:rsid w:val="00067574"/>
    <w:rsid w:val="00067877"/>
    <w:rsid w:val="000717DA"/>
    <w:rsid w:val="00071A1C"/>
    <w:rsid w:val="000724ED"/>
    <w:rsid w:val="00072765"/>
    <w:rsid w:val="0007278E"/>
    <w:rsid w:val="00072B58"/>
    <w:rsid w:val="000738B3"/>
    <w:rsid w:val="00073E11"/>
    <w:rsid w:val="00073F8D"/>
    <w:rsid w:val="0007519E"/>
    <w:rsid w:val="00076014"/>
    <w:rsid w:val="0007608F"/>
    <w:rsid w:val="0007615C"/>
    <w:rsid w:val="00077E5F"/>
    <w:rsid w:val="0008036A"/>
    <w:rsid w:val="00081242"/>
    <w:rsid w:val="00081AE6"/>
    <w:rsid w:val="00082443"/>
    <w:rsid w:val="00082E89"/>
    <w:rsid w:val="00083749"/>
    <w:rsid w:val="00083BA1"/>
    <w:rsid w:val="000846C8"/>
    <w:rsid w:val="000846E0"/>
    <w:rsid w:val="00085116"/>
    <w:rsid w:val="000855EB"/>
    <w:rsid w:val="00085B52"/>
    <w:rsid w:val="00085C30"/>
    <w:rsid w:val="00086183"/>
    <w:rsid w:val="00086443"/>
    <w:rsid w:val="000866F2"/>
    <w:rsid w:val="000869A1"/>
    <w:rsid w:val="00086BB7"/>
    <w:rsid w:val="0009009F"/>
    <w:rsid w:val="0009154C"/>
    <w:rsid w:val="00091557"/>
    <w:rsid w:val="0009163D"/>
    <w:rsid w:val="00091D9A"/>
    <w:rsid w:val="00092207"/>
    <w:rsid w:val="00092274"/>
    <w:rsid w:val="00092484"/>
    <w:rsid w:val="000924C1"/>
    <w:rsid w:val="000924F0"/>
    <w:rsid w:val="00092BAB"/>
    <w:rsid w:val="00092FD8"/>
    <w:rsid w:val="00093474"/>
    <w:rsid w:val="00093942"/>
    <w:rsid w:val="000943B7"/>
    <w:rsid w:val="0009482C"/>
    <w:rsid w:val="0009510F"/>
    <w:rsid w:val="0009566A"/>
    <w:rsid w:val="000956ED"/>
    <w:rsid w:val="000960E0"/>
    <w:rsid w:val="000966F4"/>
    <w:rsid w:val="00096D41"/>
    <w:rsid w:val="000970CA"/>
    <w:rsid w:val="000979D9"/>
    <w:rsid w:val="00097AAF"/>
    <w:rsid w:val="000A07F6"/>
    <w:rsid w:val="000A0AC7"/>
    <w:rsid w:val="000A17FA"/>
    <w:rsid w:val="000A1AF5"/>
    <w:rsid w:val="000A1AFF"/>
    <w:rsid w:val="000A1B7B"/>
    <w:rsid w:val="000A209B"/>
    <w:rsid w:val="000A2772"/>
    <w:rsid w:val="000A2B96"/>
    <w:rsid w:val="000A32DC"/>
    <w:rsid w:val="000A389B"/>
    <w:rsid w:val="000A4941"/>
    <w:rsid w:val="000A56F2"/>
    <w:rsid w:val="000A5FA7"/>
    <w:rsid w:val="000A6188"/>
    <w:rsid w:val="000A6974"/>
    <w:rsid w:val="000A72D6"/>
    <w:rsid w:val="000A7325"/>
    <w:rsid w:val="000A7740"/>
    <w:rsid w:val="000A7EB4"/>
    <w:rsid w:val="000B0146"/>
    <w:rsid w:val="000B1A38"/>
    <w:rsid w:val="000B2719"/>
    <w:rsid w:val="000B3A8F"/>
    <w:rsid w:val="000B4299"/>
    <w:rsid w:val="000B4AB9"/>
    <w:rsid w:val="000B58C3"/>
    <w:rsid w:val="000B5CD3"/>
    <w:rsid w:val="000B61E9"/>
    <w:rsid w:val="000B6506"/>
    <w:rsid w:val="000B6A52"/>
    <w:rsid w:val="000B6CF7"/>
    <w:rsid w:val="000B7CA6"/>
    <w:rsid w:val="000B7D92"/>
    <w:rsid w:val="000B7F60"/>
    <w:rsid w:val="000C07D6"/>
    <w:rsid w:val="000C11A3"/>
    <w:rsid w:val="000C1284"/>
    <w:rsid w:val="000C165A"/>
    <w:rsid w:val="000C2632"/>
    <w:rsid w:val="000C27DA"/>
    <w:rsid w:val="000C2E19"/>
    <w:rsid w:val="000C2FB4"/>
    <w:rsid w:val="000C3249"/>
    <w:rsid w:val="000C37CD"/>
    <w:rsid w:val="000C483D"/>
    <w:rsid w:val="000C51D9"/>
    <w:rsid w:val="000C70AD"/>
    <w:rsid w:val="000C715F"/>
    <w:rsid w:val="000C7870"/>
    <w:rsid w:val="000D019C"/>
    <w:rsid w:val="000D03D3"/>
    <w:rsid w:val="000D0488"/>
    <w:rsid w:val="000D0CFE"/>
    <w:rsid w:val="000D0D07"/>
    <w:rsid w:val="000D134D"/>
    <w:rsid w:val="000D1B88"/>
    <w:rsid w:val="000D22EF"/>
    <w:rsid w:val="000D2369"/>
    <w:rsid w:val="000D274F"/>
    <w:rsid w:val="000D320E"/>
    <w:rsid w:val="000D396B"/>
    <w:rsid w:val="000D3B47"/>
    <w:rsid w:val="000D40F5"/>
    <w:rsid w:val="000D40F8"/>
    <w:rsid w:val="000D4312"/>
    <w:rsid w:val="000D431D"/>
    <w:rsid w:val="000D4797"/>
    <w:rsid w:val="000D4A93"/>
    <w:rsid w:val="000D4C42"/>
    <w:rsid w:val="000D51FB"/>
    <w:rsid w:val="000D5249"/>
    <w:rsid w:val="000D55EB"/>
    <w:rsid w:val="000D6862"/>
    <w:rsid w:val="000E01C6"/>
    <w:rsid w:val="000E02D2"/>
    <w:rsid w:val="000E0527"/>
    <w:rsid w:val="000E18BD"/>
    <w:rsid w:val="000E1E92"/>
    <w:rsid w:val="000E212C"/>
    <w:rsid w:val="000E2420"/>
    <w:rsid w:val="000E291B"/>
    <w:rsid w:val="000E2C4D"/>
    <w:rsid w:val="000E3476"/>
    <w:rsid w:val="000E39E6"/>
    <w:rsid w:val="000E3DB8"/>
    <w:rsid w:val="000E3DEC"/>
    <w:rsid w:val="000E4B95"/>
    <w:rsid w:val="000E5954"/>
    <w:rsid w:val="000E6754"/>
    <w:rsid w:val="000F064C"/>
    <w:rsid w:val="000F06D6"/>
    <w:rsid w:val="000F0EB1"/>
    <w:rsid w:val="000F1106"/>
    <w:rsid w:val="000F142C"/>
    <w:rsid w:val="000F17F5"/>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07EE6"/>
    <w:rsid w:val="00112540"/>
    <w:rsid w:val="0011264D"/>
    <w:rsid w:val="00112FE9"/>
    <w:rsid w:val="00113CF4"/>
    <w:rsid w:val="00113F81"/>
    <w:rsid w:val="001153EA"/>
    <w:rsid w:val="00115643"/>
    <w:rsid w:val="001158C0"/>
    <w:rsid w:val="00115FDF"/>
    <w:rsid w:val="00116765"/>
    <w:rsid w:val="00116FCC"/>
    <w:rsid w:val="001174BA"/>
    <w:rsid w:val="001200DA"/>
    <w:rsid w:val="00120936"/>
    <w:rsid w:val="001212A3"/>
    <w:rsid w:val="001219F5"/>
    <w:rsid w:val="00121A20"/>
    <w:rsid w:val="00121AE1"/>
    <w:rsid w:val="00121B0B"/>
    <w:rsid w:val="00122574"/>
    <w:rsid w:val="001226EF"/>
    <w:rsid w:val="0012298D"/>
    <w:rsid w:val="00122F2E"/>
    <w:rsid w:val="00123033"/>
    <w:rsid w:val="0012377F"/>
    <w:rsid w:val="00124314"/>
    <w:rsid w:val="001246A6"/>
    <w:rsid w:val="001246E4"/>
    <w:rsid w:val="00125079"/>
    <w:rsid w:val="001255DA"/>
    <w:rsid w:val="00126896"/>
    <w:rsid w:val="00126B4A"/>
    <w:rsid w:val="00127020"/>
    <w:rsid w:val="001303E3"/>
    <w:rsid w:val="00131695"/>
    <w:rsid w:val="001318B5"/>
    <w:rsid w:val="00131ABE"/>
    <w:rsid w:val="00132FD0"/>
    <w:rsid w:val="00133226"/>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1EE8"/>
    <w:rsid w:val="00142015"/>
    <w:rsid w:val="00142718"/>
    <w:rsid w:val="00143B3A"/>
    <w:rsid w:val="00143F37"/>
    <w:rsid w:val="00144787"/>
    <w:rsid w:val="00144798"/>
    <w:rsid w:val="001447D3"/>
    <w:rsid w:val="00144BE6"/>
    <w:rsid w:val="001457F5"/>
    <w:rsid w:val="00145A01"/>
    <w:rsid w:val="00146544"/>
    <w:rsid w:val="00146998"/>
    <w:rsid w:val="001503AE"/>
    <w:rsid w:val="00150E1D"/>
    <w:rsid w:val="001510AB"/>
    <w:rsid w:val="00151E23"/>
    <w:rsid w:val="001526E0"/>
    <w:rsid w:val="00152818"/>
    <w:rsid w:val="00152BFC"/>
    <w:rsid w:val="001536DF"/>
    <w:rsid w:val="001539B5"/>
    <w:rsid w:val="00153B39"/>
    <w:rsid w:val="001541A3"/>
    <w:rsid w:val="0015490C"/>
    <w:rsid w:val="00154AF1"/>
    <w:rsid w:val="00154D2B"/>
    <w:rsid w:val="00155096"/>
    <w:rsid w:val="001551B5"/>
    <w:rsid w:val="001558FD"/>
    <w:rsid w:val="00155B60"/>
    <w:rsid w:val="00155C2B"/>
    <w:rsid w:val="00155EF4"/>
    <w:rsid w:val="00156808"/>
    <w:rsid w:val="00156E4A"/>
    <w:rsid w:val="00157C31"/>
    <w:rsid w:val="00160D04"/>
    <w:rsid w:val="00160E23"/>
    <w:rsid w:val="00161DF4"/>
    <w:rsid w:val="00162072"/>
    <w:rsid w:val="001622BB"/>
    <w:rsid w:val="00162E55"/>
    <w:rsid w:val="00163A60"/>
    <w:rsid w:val="001640AA"/>
    <w:rsid w:val="001643A8"/>
    <w:rsid w:val="00164F01"/>
    <w:rsid w:val="001659C1"/>
    <w:rsid w:val="00165E07"/>
    <w:rsid w:val="00166A1C"/>
    <w:rsid w:val="00166C4F"/>
    <w:rsid w:val="001671F4"/>
    <w:rsid w:val="001671FD"/>
    <w:rsid w:val="00167BF3"/>
    <w:rsid w:val="00170067"/>
    <w:rsid w:val="00170261"/>
    <w:rsid w:val="0017045C"/>
    <w:rsid w:val="00170F9F"/>
    <w:rsid w:val="00171103"/>
    <w:rsid w:val="001712FF"/>
    <w:rsid w:val="001718EC"/>
    <w:rsid w:val="001732EB"/>
    <w:rsid w:val="00173A8E"/>
    <w:rsid w:val="001740A8"/>
    <w:rsid w:val="001741AA"/>
    <w:rsid w:val="00175FDF"/>
    <w:rsid w:val="00176CAD"/>
    <w:rsid w:val="00176CCC"/>
    <w:rsid w:val="00176F67"/>
    <w:rsid w:val="00177795"/>
    <w:rsid w:val="00177E3F"/>
    <w:rsid w:val="00180989"/>
    <w:rsid w:val="0018143F"/>
    <w:rsid w:val="00181D57"/>
    <w:rsid w:val="0018215E"/>
    <w:rsid w:val="00182595"/>
    <w:rsid w:val="001828EF"/>
    <w:rsid w:val="00182FC8"/>
    <w:rsid w:val="001831E3"/>
    <w:rsid w:val="001832CC"/>
    <w:rsid w:val="0018351D"/>
    <w:rsid w:val="001842B6"/>
    <w:rsid w:val="001858ED"/>
    <w:rsid w:val="00185C8D"/>
    <w:rsid w:val="00186DB0"/>
    <w:rsid w:val="00187C69"/>
    <w:rsid w:val="0019048F"/>
    <w:rsid w:val="00190AC1"/>
    <w:rsid w:val="00192200"/>
    <w:rsid w:val="00192750"/>
    <w:rsid w:val="0019341A"/>
    <w:rsid w:val="00193F11"/>
    <w:rsid w:val="00193F1B"/>
    <w:rsid w:val="00194AAD"/>
    <w:rsid w:val="00194E16"/>
    <w:rsid w:val="00195A0E"/>
    <w:rsid w:val="0019658B"/>
    <w:rsid w:val="00196ADF"/>
    <w:rsid w:val="00196B71"/>
    <w:rsid w:val="00196D8E"/>
    <w:rsid w:val="00196FC4"/>
    <w:rsid w:val="00197D7A"/>
    <w:rsid w:val="00197DF9"/>
    <w:rsid w:val="00197F2C"/>
    <w:rsid w:val="001A0BBB"/>
    <w:rsid w:val="001A1192"/>
    <w:rsid w:val="001A1475"/>
    <w:rsid w:val="001A1987"/>
    <w:rsid w:val="001A1C1C"/>
    <w:rsid w:val="001A2564"/>
    <w:rsid w:val="001A28DD"/>
    <w:rsid w:val="001A335C"/>
    <w:rsid w:val="001A37E4"/>
    <w:rsid w:val="001A3E52"/>
    <w:rsid w:val="001A409A"/>
    <w:rsid w:val="001A418E"/>
    <w:rsid w:val="001A6173"/>
    <w:rsid w:val="001A61C9"/>
    <w:rsid w:val="001A6CBA"/>
    <w:rsid w:val="001A6D54"/>
    <w:rsid w:val="001A7BFD"/>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36D"/>
    <w:rsid w:val="001C760C"/>
    <w:rsid w:val="001C793C"/>
    <w:rsid w:val="001C7C80"/>
    <w:rsid w:val="001C7F15"/>
    <w:rsid w:val="001D124B"/>
    <w:rsid w:val="001D1542"/>
    <w:rsid w:val="001D1916"/>
    <w:rsid w:val="001D1AC2"/>
    <w:rsid w:val="001D1F25"/>
    <w:rsid w:val="001D21C4"/>
    <w:rsid w:val="001D23A1"/>
    <w:rsid w:val="001D2433"/>
    <w:rsid w:val="001D333A"/>
    <w:rsid w:val="001D3410"/>
    <w:rsid w:val="001D35DD"/>
    <w:rsid w:val="001D3DB4"/>
    <w:rsid w:val="001D3F23"/>
    <w:rsid w:val="001D5012"/>
    <w:rsid w:val="001D51BA"/>
    <w:rsid w:val="001D6342"/>
    <w:rsid w:val="001D6D53"/>
    <w:rsid w:val="001D7361"/>
    <w:rsid w:val="001D76CC"/>
    <w:rsid w:val="001D774B"/>
    <w:rsid w:val="001D7D49"/>
    <w:rsid w:val="001E084C"/>
    <w:rsid w:val="001E16F8"/>
    <w:rsid w:val="001E1D1B"/>
    <w:rsid w:val="001E2F5F"/>
    <w:rsid w:val="001E305E"/>
    <w:rsid w:val="001E372E"/>
    <w:rsid w:val="001E3BDB"/>
    <w:rsid w:val="001E4110"/>
    <w:rsid w:val="001E4BF0"/>
    <w:rsid w:val="001E50B7"/>
    <w:rsid w:val="001E542A"/>
    <w:rsid w:val="001E58E2"/>
    <w:rsid w:val="001E59DA"/>
    <w:rsid w:val="001E5C7A"/>
    <w:rsid w:val="001E647F"/>
    <w:rsid w:val="001E6F78"/>
    <w:rsid w:val="001E7AED"/>
    <w:rsid w:val="001F08A2"/>
    <w:rsid w:val="001F08EF"/>
    <w:rsid w:val="001F12D7"/>
    <w:rsid w:val="001F1D1E"/>
    <w:rsid w:val="001F2204"/>
    <w:rsid w:val="001F29B5"/>
    <w:rsid w:val="001F338B"/>
    <w:rsid w:val="001F3916"/>
    <w:rsid w:val="001F3E5B"/>
    <w:rsid w:val="001F54C5"/>
    <w:rsid w:val="001F5D84"/>
    <w:rsid w:val="001F662C"/>
    <w:rsid w:val="001F6FF9"/>
    <w:rsid w:val="001F7074"/>
    <w:rsid w:val="001F7D18"/>
    <w:rsid w:val="001F7D47"/>
    <w:rsid w:val="00200114"/>
    <w:rsid w:val="00200490"/>
    <w:rsid w:val="00200F06"/>
    <w:rsid w:val="00201B0E"/>
    <w:rsid w:val="00201ED6"/>
    <w:rsid w:val="00201F3A"/>
    <w:rsid w:val="00202287"/>
    <w:rsid w:val="0020259B"/>
    <w:rsid w:val="002027E4"/>
    <w:rsid w:val="00203F96"/>
    <w:rsid w:val="002048BF"/>
    <w:rsid w:val="00204CF8"/>
    <w:rsid w:val="00205CF2"/>
    <w:rsid w:val="00205F78"/>
    <w:rsid w:val="002069B2"/>
    <w:rsid w:val="00206A93"/>
    <w:rsid w:val="00206D22"/>
    <w:rsid w:val="00207480"/>
    <w:rsid w:val="00207FA3"/>
    <w:rsid w:val="00207FBF"/>
    <w:rsid w:val="00210D53"/>
    <w:rsid w:val="00211F58"/>
    <w:rsid w:val="00212A0A"/>
    <w:rsid w:val="00212D46"/>
    <w:rsid w:val="00212E3C"/>
    <w:rsid w:val="00213C50"/>
    <w:rsid w:val="00214344"/>
    <w:rsid w:val="00214799"/>
    <w:rsid w:val="00214DA8"/>
    <w:rsid w:val="00215423"/>
    <w:rsid w:val="002158FA"/>
    <w:rsid w:val="00215C03"/>
    <w:rsid w:val="002164FF"/>
    <w:rsid w:val="00217C84"/>
    <w:rsid w:val="00217F12"/>
    <w:rsid w:val="00220600"/>
    <w:rsid w:val="0022083B"/>
    <w:rsid w:val="00220B94"/>
    <w:rsid w:val="00220C2E"/>
    <w:rsid w:val="002211F2"/>
    <w:rsid w:val="00221A2F"/>
    <w:rsid w:val="00221BEB"/>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27752"/>
    <w:rsid w:val="00230226"/>
    <w:rsid w:val="0023022D"/>
    <w:rsid w:val="00230765"/>
    <w:rsid w:val="00230ACD"/>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18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0A0"/>
    <w:rsid w:val="00251571"/>
    <w:rsid w:val="00251EA0"/>
    <w:rsid w:val="00251FBC"/>
    <w:rsid w:val="0025250B"/>
    <w:rsid w:val="00253115"/>
    <w:rsid w:val="002531A3"/>
    <w:rsid w:val="00253A77"/>
    <w:rsid w:val="00253F49"/>
    <w:rsid w:val="002542E4"/>
    <w:rsid w:val="002543E9"/>
    <w:rsid w:val="0025455C"/>
    <w:rsid w:val="002546CB"/>
    <w:rsid w:val="002548CB"/>
    <w:rsid w:val="002557A2"/>
    <w:rsid w:val="00256384"/>
    <w:rsid w:val="00256483"/>
    <w:rsid w:val="00256EEC"/>
    <w:rsid w:val="00257321"/>
    <w:rsid w:val="00257543"/>
    <w:rsid w:val="00257A12"/>
    <w:rsid w:val="00260896"/>
    <w:rsid w:val="002617E7"/>
    <w:rsid w:val="00261C3F"/>
    <w:rsid w:val="00261FC8"/>
    <w:rsid w:val="00262114"/>
    <w:rsid w:val="0026224F"/>
    <w:rsid w:val="002627FC"/>
    <w:rsid w:val="00262CB8"/>
    <w:rsid w:val="00263069"/>
    <w:rsid w:val="0026321A"/>
    <w:rsid w:val="00263626"/>
    <w:rsid w:val="00263ED5"/>
    <w:rsid w:val="00264228"/>
    <w:rsid w:val="00264334"/>
    <w:rsid w:val="0026473E"/>
    <w:rsid w:val="00265FD8"/>
    <w:rsid w:val="00266214"/>
    <w:rsid w:val="00266460"/>
    <w:rsid w:val="00266A84"/>
    <w:rsid w:val="00267728"/>
    <w:rsid w:val="00267C83"/>
    <w:rsid w:val="00267DFD"/>
    <w:rsid w:val="002700A9"/>
    <w:rsid w:val="00270AE3"/>
    <w:rsid w:val="00270EBD"/>
    <w:rsid w:val="002710FD"/>
    <w:rsid w:val="0027144F"/>
    <w:rsid w:val="00271523"/>
    <w:rsid w:val="00271A80"/>
    <w:rsid w:val="00271F3A"/>
    <w:rsid w:val="002720DE"/>
    <w:rsid w:val="00272CC1"/>
    <w:rsid w:val="00273020"/>
    <w:rsid w:val="00273278"/>
    <w:rsid w:val="002737F4"/>
    <w:rsid w:val="00273BF7"/>
    <w:rsid w:val="00273F10"/>
    <w:rsid w:val="00274E42"/>
    <w:rsid w:val="00275572"/>
    <w:rsid w:val="00275F1B"/>
    <w:rsid w:val="0027632E"/>
    <w:rsid w:val="00276C20"/>
    <w:rsid w:val="0027787B"/>
    <w:rsid w:val="002778F9"/>
    <w:rsid w:val="002805F5"/>
    <w:rsid w:val="00280751"/>
    <w:rsid w:val="00280898"/>
    <w:rsid w:val="002809C1"/>
    <w:rsid w:val="00280D9F"/>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0A0F"/>
    <w:rsid w:val="00291C07"/>
    <w:rsid w:val="002921E6"/>
    <w:rsid w:val="00292560"/>
    <w:rsid w:val="00292EB7"/>
    <w:rsid w:val="00293328"/>
    <w:rsid w:val="00293817"/>
    <w:rsid w:val="00294B2A"/>
    <w:rsid w:val="002950B5"/>
    <w:rsid w:val="00295399"/>
    <w:rsid w:val="0029561E"/>
    <w:rsid w:val="00295921"/>
    <w:rsid w:val="00295C79"/>
    <w:rsid w:val="00296227"/>
    <w:rsid w:val="002969F6"/>
    <w:rsid w:val="00296F44"/>
    <w:rsid w:val="0029739C"/>
    <w:rsid w:val="0029777D"/>
    <w:rsid w:val="00297B6D"/>
    <w:rsid w:val="00297C35"/>
    <w:rsid w:val="002A02FD"/>
    <w:rsid w:val="002A055E"/>
    <w:rsid w:val="002A0843"/>
    <w:rsid w:val="002A0A9D"/>
    <w:rsid w:val="002A0ED4"/>
    <w:rsid w:val="002A17D5"/>
    <w:rsid w:val="002A1B19"/>
    <w:rsid w:val="002A1D4E"/>
    <w:rsid w:val="002A20E7"/>
    <w:rsid w:val="002A26FA"/>
    <w:rsid w:val="002A2869"/>
    <w:rsid w:val="002A2BD1"/>
    <w:rsid w:val="002A31D2"/>
    <w:rsid w:val="002A3422"/>
    <w:rsid w:val="002A4F2D"/>
    <w:rsid w:val="002A563D"/>
    <w:rsid w:val="002A5700"/>
    <w:rsid w:val="002A5C9F"/>
    <w:rsid w:val="002A5DB4"/>
    <w:rsid w:val="002A633C"/>
    <w:rsid w:val="002A6A54"/>
    <w:rsid w:val="002A6BF0"/>
    <w:rsid w:val="002B098C"/>
    <w:rsid w:val="002B16FE"/>
    <w:rsid w:val="002B238E"/>
    <w:rsid w:val="002B2432"/>
    <w:rsid w:val="002B24D6"/>
    <w:rsid w:val="002B361C"/>
    <w:rsid w:val="002B406D"/>
    <w:rsid w:val="002B430A"/>
    <w:rsid w:val="002B432B"/>
    <w:rsid w:val="002B48FC"/>
    <w:rsid w:val="002B5254"/>
    <w:rsid w:val="002B55CF"/>
    <w:rsid w:val="002B656F"/>
    <w:rsid w:val="002B6C8C"/>
    <w:rsid w:val="002C01DE"/>
    <w:rsid w:val="002C02AE"/>
    <w:rsid w:val="002C042F"/>
    <w:rsid w:val="002C0484"/>
    <w:rsid w:val="002C0625"/>
    <w:rsid w:val="002C06CB"/>
    <w:rsid w:val="002C0815"/>
    <w:rsid w:val="002C1AAA"/>
    <w:rsid w:val="002C2331"/>
    <w:rsid w:val="002C29B6"/>
    <w:rsid w:val="002C2F8C"/>
    <w:rsid w:val="002C3FF6"/>
    <w:rsid w:val="002C41E6"/>
    <w:rsid w:val="002C5323"/>
    <w:rsid w:val="002C539A"/>
    <w:rsid w:val="002C591D"/>
    <w:rsid w:val="002D020A"/>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06C6"/>
    <w:rsid w:val="002E071F"/>
    <w:rsid w:val="002E1050"/>
    <w:rsid w:val="002E13BD"/>
    <w:rsid w:val="002E17F2"/>
    <w:rsid w:val="002E19D8"/>
    <w:rsid w:val="002E349F"/>
    <w:rsid w:val="002E386D"/>
    <w:rsid w:val="002E4376"/>
    <w:rsid w:val="002E44AD"/>
    <w:rsid w:val="002E4527"/>
    <w:rsid w:val="002E45E7"/>
    <w:rsid w:val="002E481A"/>
    <w:rsid w:val="002E4D97"/>
    <w:rsid w:val="002E5CD0"/>
    <w:rsid w:val="002E5EAB"/>
    <w:rsid w:val="002E63BD"/>
    <w:rsid w:val="002E6827"/>
    <w:rsid w:val="002E6D26"/>
    <w:rsid w:val="002E7CAE"/>
    <w:rsid w:val="002E7E47"/>
    <w:rsid w:val="002F0081"/>
    <w:rsid w:val="002F01EF"/>
    <w:rsid w:val="002F0EB2"/>
    <w:rsid w:val="002F0FAE"/>
    <w:rsid w:val="002F1210"/>
    <w:rsid w:val="002F13B1"/>
    <w:rsid w:val="002F1EB6"/>
    <w:rsid w:val="002F1F36"/>
    <w:rsid w:val="002F1F4E"/>
    <w:rsid w:val="002F2771"/>
    <w:rsid w:val="002F37A9"/>
    <w:rsid w:val="002F3893"/>
    <w:rsid w:val="002F3ABF"/>
    <w:rsid w:val="002F3EB5"/>
    <w:rsid w:val="002F417B"/>
    <w:rsid w:val="002F4212"/>
    <w:rsid w:val="002F42DA"/>
    <w:rsid w:val="002F44ED"/>
    <w:rsid w:val="002F4DDB"/>
    <w:rsid w:val="002F4E60"/>
    <w:rsid w:val="002F5561"/>
    <w:rsid w:val="002F5CDA"/>
    <w:rsid w:val="002F62F5"/>
    <w:rsid w:val="002F6626"/>
    <w:rsid w:val="002F67C2"/>
    <w:rsid w:val="002F7089"/>
    <w:rsid w:val="002F778F"/>
    <w:rsid w:val="00301257"/>
    <w:rsid w:val="00301CE6"/>
    <w:rsid w:val="00301D3C"/>
    <w:rsid w:val="0030256B"/>
    <w:rsid w:val="003025D6"/>
    <w:rsid w:val="00302E37"/>
    <w:rsid w:val="00303794"/>
    <w:rsid w:val="00303E39"/>
    <w:rsid w:val="00304037"/>
    <w:rsid w:val="00304338"/>
    <w:rsid w:val="00304710"/>
    <w:rsid w:val="00304DE9"/>
    <w:rsid w:val="0030501F"/>
    <w:rsid w:val="00306548"/>
    <w:rsid w:val="003070BB"/>
    <w:rsid w:val="003073C1"/>
    <w:rsid w:val="00307BA1"/>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E57"/>
    <w:rsid w:val="003203ED"/>
    <w:rsid w:val="00321B8C"/>
    <w:rsid w:val="00322900"/>
    <w:rsid w:val="00322C9F"/>
    <w:rsid w:val="00323D2F"/>
    <w:rsid w:val="00323DF6"/>
    <w:rsid w:val="00323F80"/>
    <w:rsid w:val="00324456"/>
    <w:rsid w:val="00324D23"/>
    <w:rsid w:val="00324E1B"/>
    <w:rsid w:val="0032505B"/>
    <w:rsid w:val="003250A8"/>
    <w:rsid w:val="00327884"/>
    <w:rsid w:val="0033074D"/>
    <w:rsid w:val="00331751"/>
    <w:rsid w:val="00331D5D"/>
    <w:rsid w:val="00332EAB"/>
    <w:rsid w:val="0033324A"/>
    <w:rsid w:val="003336DC"/>
    <w:rsid w:val="00333A1F"/>
    <w:rsid w:val="00333E51"/>
    <w:rsid w:val="00334579"/>
    <w:rsid w:val="00335858"/>
    <w:rsid w:val="0033586F"/>
    <w:rsid w:val="00336174"/>
    <w:rsid w:val="0033640D"/>
    <w:rsid w:val="003364D1"/>
    <w:rsid w:val="00336BDA"/>
    <w:rsid w:val="00337143"/>
    <w:rsid w:val="003405A9"/>
    <w:rsid w:val="0034096A"/>
    <w:rsid w:val="003409B2"/>
    <w:rsid w:val="00341CE2"/>
    <w:rsid w:val="00342BD7"/>
    <w:rsid w:val="00343A07"/>
    <w:rsid w:val="00345015"/>
    <w:rsid w:val="00345333"/>
    <w:rsid w:val="00345B74"/>
    <w:rsid w:val="00346DB5"/>
    <w:rsid w:val="003476F9"/>
    <w:rsid w:val="003477B1"/>
    <w:rsid w:val="00347968"/>
    <w:rsid w:val="00347AAD"/>
    <w:rsid w:val="003501A5"/>
    <w:rsid w:val="00350AA0"/>
    <w:rsid w:val="00351671"/>
    <w:rsid w:val="003521FD"/>
    <w:rsid w:val="003526D5"/>
    <w:rsid w:val="00352ADF"/>
    <w:rsid w:val="00352B16"/>
    <w:rsid w:val="00352E34"/>
    <w:rsid w:val="0035443A"/>
    <w:rsid w:val="0035482C"/>
    <w:rsid w:val="00354CAA"/>
    <w:rsid w:val="00355AD4"/>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C05"/>
    <w:rsid w:val="00362F13"/>
    <w:rsid w:val="00363444"/>
    <w:rsid w:val="00363581"/>
    <w:rsid w:val="003641FA"/>
    <w:rsid w:val="00364BC3"/>
    <w:rsid w:val="0036539F"/>
    <w:rsid w:val="00365546"/>
    <w:rsid w:val="003662BC"/>
    <w:rsid w:val="00366657"/>
    <w:rsid w:val="0036691E"/>
    <w:rsid w:val="003675AE"/>
    <w:rsid w:val="00367C7A"/>
    <w:rsid w:val="003700FC"/>
    <w:rsid w:val="00370300"/>
    <w:rsid w:val="003703C6"/>
    <w:rsid w:val="00370E47"/>
    <w:rsid w:val="0037104F"/>
    <w:rsid w:val="0037175B"/>
    <w:rsid w:val="00371A50"/>
    <w:rsid w:val="00372B5A"/>
    <w:rsid w:val="0037313D"/>
    <w:rsid w:val="003739D8"/>
    <w:rsid w:val="00373BA9"/>
    <w:rsid w:val="00373FDB"/>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470"/>
    <w:rsid w:val="00383625"/>
    <w:rsid w:val="00383993"/>
    <w:rsid w:val="00383ED4"/>
    <w:rsid w:val="0038492A"/>
    <w:rsid w:val="00384E23"/>
    <w:rsid w:val="003850A4"/>
    <w:rsid w:val="00385BF0"/>
    <w:rsid w:val="003869E2"/>
    <w:rsid w:val="00386A95"/>
    <w:rsid w:val="00387DDC"/>
    <w:rsid w:val="0039016E"/>
    <w:rsid w:val="00390826"/>
    <w:rsid w:val="00390C7E"/>
    <w:rsid w:val="00391112"/>
    <w:rsid w:val="003928D6"/>
    <w:rsid w:val="003939FF"/>
    <w:rsid w:val="00393BF2"/>
    <w:rsid w:val="00393D55"/>
    <w:rsid w:val="00394896"/>
    <w:rsid w:val="00394C2D"/>
    <w:rsid w:val="00394F08"/>
    <w:rsid w:val="00395287"/>
    <w:rsid w:val="003958F1"/>
    <w:rsid w:val="00395AF3"/>
    <w:rsid w:val="00395B6A"/>
    <w:rsid w:val="00395D80"/>
    <w:rsid w:val="00396763"/>
    <w:rsid w:val="00396B1F"/>
    <w:rsid w:val="00396B88"/>
    <w:rsid w:val="00396DD5"/>
    <w:rsid w:val="003A03F4"/>
    <w:rsid w:val="003A06BC"/>
    <w:rsid w:val="003A13D1"/>
    <w:rsid w:val="003A16DC"/>
    <w:rsid w:val="003A1740"/>
    <w:rsid w:val="003A2223"/>
    <w:rsid w:val="003A22BC"/>
    <w:rsid w:val="003A238F"/>
    <w:rsid w:val="003A2A0F"/>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2C18"/>
    <w:rsid w:val="003C2CB4"/>
    <w:rsid w:val="003C3066"/>
    <w:rsid w:val="003C33CB"/>
    <w:rsid w:val="003C379E"/>
    <w:rsid w:val="003C3AC4"/>
    <w:rsid w:val="003C4295"/>
    <w:rsid w:val="003C454F"/>
    <w:rsid w:val="003C460F"/>
    <w:rsid w:val="003C46B0"/>
    <w:rsid w:val="003C61BF"/>
    <w:rsid w:val="003C67F6"/>
    <w:rsid w:val="003C6EBE"/>
    <w:rsid w:val="003C75B3"/>
    <w:rsid w:val="003C7806"/>
    <w:rsid w:val="003C78D2"/>
    <w:rsid w:val="003C7AB5"/>
    <w:rsid w:val="003D0761"/>
    <w:rsid w:val="003D0A76"/>
    <w:rsid w:val="003D0FD0"/>
    <w:rsid w:val="003D109F"/>
    <w:rsid w:val="003D10AD"/>
    <w:rsid w:val="003D1CA1"/>
    <w:rsid w:val="003D1EBB"/>
    <w:rsid w:val="003D2478"/>
    <w:rsid w:val="003D2A0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FC"/>
    <w:rsid w:val="003E55E4"/>
    <w:rsid w:val="003E56EC"/>
    <w:rsid w:val="003E58D0"/>
    <w:rsid w:val="003E59C0"/>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D56"/>
    <w:rsid w:val="003F4FB7"/>
    <w:rsid w:val="003F67E5"/>
    <w:rsid w:val="003F6851"/>
    <w:rsid w:val="003F6A3D"/>
    <w:rsid w:val="003F6BBE"/>
    <w:rsid w:val="003F723F"/>
    <w:rsid w:val="003F7761"/>
    <w:rsid w:val="003F7AC9"/>
    <w:rsid w:val="003F7FC6"/>
    <w:rsid w:val="004000E8"/>
    <w:rsid w:val="004012D1"/>
    <w:rsid w:val="00402E2B"/>
    <w:rsid w:val="00402F5D"/>
    <w:rsid w:val="004031DE"/>
    <w:rsid w:val="00403A7E"/>
    <w:rsid w:val="00404D0A"/>
    <w:rsid w:val="0040512B"/>
    <w:rsid w:val="00405BA5"/>
    <w:rsid w:val="00405CA5"/>
    <w:rsid w:val="00406038"/>
    <w:rsid w:val="004071F0"/>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4687"/>
    <w:rsid w:val="004154C5"/>
    <w:rsid w:val="004159EB"/>
    <w:rsid w:val="00415B7E"/>
    <w:rsid w:val="004164B3"/>
    <w:rsid w:val="004176EB"/>
    <w:rsid w:val="00417919"/>
    <w:rsid w:val="004201FE"/>
    <w:rsid w:val="00420E37"/>
    <w:rsid w:val="00421105"/>
    <w:rsid w:val="004211AC"/>
    <w:rsid w:val="00421784"/>
    <w:rsid w:val="0042195B"/>
    <w:rsid w:val="00422189"/>
    <w:rsid w:val="00422190"/>
    <w:rsid w:val="00423521"/>
    <w:rsid w:val="00423687"/>
    <w:rsid w:val="004238C9"/>
    <w:rsid w:val="004241FD"/>
    <w:rsid w:val="004242F4"/>
    <w:rsid w:val="00424F3F"/>
    <w:rsid w:val="004257D7"/>
    <w:rsid w:val="00425889"/>
    <w:rsid w:val="00427248"/>
    <w:rsid w:val="00427A45"/>
    <w:rsid w:val="00427B7B"/>
    <w:rsid w:val="00430217"/>
    <w:rsid w:val="004319E2"/>
    <w:rsid w:val="004320D2"/>
    <w:rsid w:val="004322B6"/>
    <w:rsid w:val="00432704"/>
    <w:rsid w:val="00432C84"/>
    <w:rsid w:val="004337E0"/>
    <w:rsid w:val="00433868"/>
    <w:rsid w:val="004340AB"/>
    <w:rsid w:val="00434186"/>
    <w:rsid w:val="00435150"/>
    <w:rsid w:val="004359A0"/>
    <w:rsid w:val="004361D0"/>
    <w:rsid w:val="00436C4F"/>
    <w:rsid w:val="00436FD8"/>
    <w:rsid w:val="00437447"/>
    <w:rsid w:val="004374E6"/>
    <w:rsid w:val="00437610"/>
    <w:rsid w:val="00437F19"/>
    <w:rsid w:val="00440540"/>
    <w:rsid w:val="00440743"/>
    <w:rsid w:val="00440CEF"/>
    <w:rsid w:val="00441038"/>
    <w:rsid w:val="00441539"/>
    <w:rsid w:val="00441A92"/>
    <w:rsid w:val="00441BE2"/>
    <w:rsid w:val="00442425"/>
    <w:rsid w:val="004426DE"/>
    <w:rsid w:val="00443568"/>
    <w:rsid w:val="00444074"/>
    <w:rsid w:val="00444F56"/>
    <w:rsid w:val="00445838"/>
    <w:rsid w:val="00445839"/>
    <w:rsid w:val="00445FBE"/>
    <w:rsid w:val="00446488"/>
    <w:rsid w:val="004474C1"/>
    <w:rsid w:val="004477D5"/>
    <w:rsid w:val="00447EDF"/>
    <w:rsid w:val="00447F57"/>
    <w:rsid w:val="004517AA"/>
    <w:rsid w:val="00451DB9"/>
    <w:rsid w:val="0045219A"/>
    <w:rsid w:val="00452614"/>
    <w:rsid w:val="00452CAC"/>
    <w:rsid w:val="00453003"/>
    <w:rsid w:val="00453849"/>
    <w:rsid w:val="004542C7"/>
    <w:rsid w:val="00454D4C"/>
    <w:rsid w:val="004550CD"/>
    <w:rsid w:val="00455145"/>
    <w:rsid w:val="00455E45"/>
    <w:rsid w:val="00456C36"/>
    <w:rsid w:val="00457481"/>
    <w:rsid w:val="00457565"/>
    <w:rsid w:val="00457976"/>
    <w:rsid w:val="00457AD4"/>
    <w:rsid w:val="00457B71"/>
    <w:rsid w:val="00460334"/>
    <w:rsid w:val="004604B4"/>
    <w:rsid w:val="004609A3"/>
    <w:rsid w:val="00460D3C"/>
    <w:rsid w:val="00460EFF"/>
    <w:rsid w:val="004617F6"/>
    <w:rsid w:val="00461B0C"/>
    <w:rsid w:val="00461E1B"/>
    <w:rsid w:val="00462755"/>
    <w:rsid w:val="004627AF"/>
    <w:rsid w:val="00463BEB"/>
    <w:rsid w:val="00463C0D"/>
    <w:rsid w:val="00463CA6"/>
    <w:rsid w:val="004644EB"/>
    <w:rsid w:val="004649C8"/>
    <w:rsid w:val="00464A1B"/>
    <w:rsid w:val="00464B16"/>
    <w:rsid w:val="00464D81"/>
    <w:rsid w:val="0046542D"/>
    <w:rsid w:val="0046562A"/>
    <w:rsid w:val="004656CC"/>
    <w:rsid w:val="00465788"/>
    <w:rsid w:val="004658CF"/>
    <w:rsid w:val="00465AC7"/>
    <w:rsid w:val="00465F3A"/>
    <w:rsid w:val="004669E2"/>
    <w:rsid w:val="00466A77"/>
    <w:rsid w:val="00466F15"/>
    <w:rsid w:val="00466F25"/>
    <w:rsid w:val="00467DBC"/>
    <w:rsid w:val="00467E2F"/>
    <w:rsid w:val="004704DF"/>
    <w:rsid w:val="004709E6"/>
    <w:rsid w:val="00470C31"/>
    <w:rsid w:val="00471C4B"/>
    <w:rsid w:val="00472C22"/>
    <w:rsid w:val="004734D0"/>
    <w:rsid w:val="00473749"/>
    <w:rsid w:val="00474C7D"/>
    <w:rsid w:val="0047556B"/>
    <w:rsid w:val="004758BD"/>
    <w:rsid w:val="00475C51"/>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70"/>
    <w:rsid w:val="0049200A"/>
    <w:rsid w:val="00492363"/>
    <w:rsid w:val="00492747"/>
    <w:rsid w:val="00492BC5"/>
    <w:rsid w:val="00492D58"/>
    <w:rsid w:val="004932E3"/>
    <w:rsid w:val="00493819"/>
    <w:rsid w:val="00494066"/>
    <w:rsid w:val="00494601"/>
    <w:rsid w:val="004957C8"/>
    <w:rsid w:val="00495A77"/>
    <w:rsid w:val="004961A9"/>
    <w:rsid w:val="004964F1"/>
    <w:rsid w:val="00496B9A"/>
    <w:rsid w:val="00497411"/>
    <w:rsid w:val="004A0E54"/>
    <w:rsid w:val="004A1612"/>
    <w:rsid w:val="004A16BC"/>
    <w:rsid w:val="004A1C96"/>
    <w:rsid w:val="004A1E83"/>
    <w:rsid w:val="004A21C1"/>
    <w:rsid w:val="004A260C"/>
    <w:rsid w:val="004A2B94"/>
    <w:rsid w:val="004A4186"/>
    <w:rsid w:val="004A41CD"/>
    <w:rsid w:val="004A5941"/>
    <w:rsid w:val="004A61A7"/>
    <w:rsid w:val="004A7CEF"/>
    <w:rsid w:val="004B140A"/>
    <w:rsid w:val="004B1999"/>
    <w:rsid w:val="004B1AAD"/>
    <w:rsid w:val="004B1EB4"/>
    <w:rsid w:val="004B29D1"/>
    <w:rsid w:val="004B3F6B"/>
    <w:rsid w:val="004B50E1"/>
    <w:rsid w:val="004B51B2"/>
    <w:rsid w:val="004B556D"/>
    <w:rsid w:val="004B58D3"/>
    <w:rsid w:val="004B69CC"/>
    <w:rsid w:val="004B6DEA"/>
    <w:rsid w:val="004B6F96"/>
    <w:rsid w:val="004B7C0C"/>
    <w:rsid w:val="004B7F0A"/>
    <w:rsid w:val="004B7F1A"/>
    <w:rsid w:val="004C14C3"/>
    <w:rsid w:val="004C16B1"/>
    <w:rsid w:val="004C2515"/>
    <w:rsid w:val="004C29DC"/>
    <w:rsid w:val="004C3898"/>
    <w:rsid w:val="004C389B"/>
    <w:rsid w:val="004C3C78"/>
    <w:rsid w:val="004C4292"/>
    <w:rsid w:val="004C4E39"/>
    <w:rsid w:val="004C504D"/>
    <w:rsid w:val="004C52E1"/>
    <w:rsid w:val="004C54A4"/>
    <w:rsid w:val="004C6074"/>
    <w:rsid w:val="004C60D1"/>
    <w:rsid w:val="004C6912"/>
    <w:rsid w:val="004C6DFE"/>
    <w:rsid w:val="004C6FCD"/>
    <w:rsid w:val="004D0001"/>
    <w:rsid w:val="004D111E"/>
    <w:rsid w:val="004D172C"/>
    <w:rsid w:val="004D1A8C"/>
    <w:rsid w:val="004D36B1"/>
    <w:rsid w:val="004D3A12"/>
    <w:rsid w:val="004D483A"/>
    <w:rsid w:val="004D5745"/>
    <w:rsid w:val="004D5807"/>
    <w:rsid w:val="004D672E"/>
    <w:rsid w:val="004D73CB"/>
    <w:rsid w:val="004D796E"/>
    <w:rsid w:val="004D7C3F"/>
    <w:rsid w:val="004D7EBD"/>
    <w:rsid w:val="004E1402"/>
    <w:rsid w:val="004E16B5"/>
    <w:rsid w:val="004E16FA"/>
    <w:rsid w:val="004E188C"/>
    <w:rsid w:val="004E2680"/>
    <w:rsid w:val="004E28F9"/>
    <w:rsid w:val="004E2A75"/>
    <w:rsid w:val="004E2DB7"/>
    <w:rsid w:val="004E3357"/>
    <w:rsid w:val="004E3448"/>
    <w:rsid w:val="004E36CA"/>
    <w:rsid w:val="004E462E"/>
    <w:rsid w:val="004E5327"/>
    <w:rsid w:val="004E56DC"/>
    <w:rsid w:val="004E5B21"/>
    <w:rsid w:val="004E74A7"/>
    <w:rsid w:val="004E76F4"/>
    <w:rsid w:val="004E7F6C"/>
    <w:rsid w:val="004F04E4"/>
    <w:rsid w:val="004F0B4E"/>
    <w:rsid w:val="004F0B6C"/>
    <w:rsid w:val="004F10CF"/>
    <w:rsid w:val="004F1557"/>
    <w:rsid w:val="004F2078"/>
    <w:rsid w:val="004F28B2"/>
    <w:rsid w:val="004F2965"/>
    <w:rsid w:val="004F29B4"/>
    <w:rsid w:val="004F2F41"/>
    <w:rsid w:val="004F3946"/>
    <w:rsid w:val="004F3B22"/>
    <w:rsid w:val="004F44BE"/>
    <w:rsid w:val="004F4756"/>
    <w:rsid w:val="004F491F"/>
    <w:rsid w:val="004F4981"/>
    <w:rsid w:val="004F4DA3"/>
    <w:rsid w:val="004F508B"/>
    <w:rsid w:val="004F5B00"/>
    <w:rsid w:val="004F5C67"/>
    <w:rsid w:val="004F5DDE"/>
    <w:rsid w:val="004F6769"/>
    <w:rsid w:val="004F6C6C"/>
    <w:rsid w:val="004F6EC9"/>
    <w:rsid w:val="004F729D"/>
    <w:rsid w:val="005000AF"/>
    <w:rsid w:val="00500E06"/>
    <w:rsid w:val="00501540"/>
    <w:rsid w:val="00502025"/>
    <w:rsid w:val="00502D73"/>
    <w:rsid w:val="0050308B"/>
    <w:rsid w:val="00503E6F"/>
    <w:rsid w:val="00504C99"/>
    <w:rsid w:val="00504DEB"/>
    <w:rsid w:val="00505C27"/>
    <w:rsid w:val="00506557"/>
    <w:rsid w:val="0050677A"/>
    <w:rsid w:val="00506858"/>
    <w:rsid w:val="0050696F"/>
    <w:rsid w:val="005072AC"/>
    <w:rsid w:val="005072CE"/>
    <w:rsid w:val="0051024C"/>
    <w:rsid w:val="005108D8"/>
    <w:rsid w:val="005116F9"/>
    <w:rsid w:val="00511E7A"/>
    <w:rsid w:val="00512669"/>
    <w:rsid w:val="00512838"/>
    <w:rsid w:val="00513D72"/>
    <w:rsid w:val="00514E66"/>
    <w:rsid w:val="005153A7"/>
    <w:rsid w:val="00515482"/>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43DB"/>
    <w:rsid w:val="00524477"/>
    <w:rsid w:val="0052481D"/>
    <w:rsid w:val="00525782"/>
    <w:rsid w:val="00525E09"/>
    <w:rsid w:val="00526891"/>
    <w:rsid w:val="00526E90"/>
    <w:rsid w:val="005271CE"/>
    <w:rsid w:val="0052738A"/>
    <w:rsid w:val="0052771A"/>
    <w:rsid w:val="0053068C"/>
    <w:rsid w:val="00531534"/>
    <w:rsid w:val="00531B60"/>
    <w:rsid w:val="0053287C"/>
    <w:rsid w:val="00532D35"/>
    <w:rsid w:val="005331DF"/>
    <w:rsid w:val="0053355F"/>
    <w:rsid w:val="005338D0"/>
    <w:rsid w:val="00534B59"/>
    <w:rsid w:val="00534F50"/>
    <w:rsid w:val="00535156"/>
    <w:rsid w:val="00535AF7"/>
    <w:rsid w:val="005364A6"/>
    <w:rsid w:val="0053667B"/>
    <w:rsid w:val="00536759"/>
    <w:rsid w:val="005367C3"/>
    <w:rsid w:val="005369FF"/>
    <w:rsid w:val="00536D88"/>
    <w:rsid w:val="00537C62"/>
    <w:rsid w:val="0054020D"/>
    <w:rsid w:val="0054126D"/>
    <w:rsid w:val="00541662"/>
    <w:rsid w:val="0054172E"/>
    <w:rsid w:val="00541DC3"/>
    <w:rsid w:val="0054208C"/>
    <w:rsid w:val="00542653"/>
    <w:rsid w:val="00543234"/>
    <w:rsid w:val="0054368D"/>
    <w:rsid w:val="00543984"/>
    <w:rsid w:val="00543F82"/>
    <w:rsid w:val="00544021"/>
    <w:rsid w:val="0054410E"/>
    <w:rsid w:val="0054462F"/>
    <w:rsid w:val="00544BAC"/>
    <w:rsid w:val="00546473"/>
    <w:rsid w:val="00546970"/>
    <w:rsid w:val="00547B5B"/>
    <w:rsid w:val="00550C90"/>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7D62"/>
    <w:rsid w:val="005607E1"/>
    <w:rsid w:val="00560E4D"/>
    <w:rsid w:val="0056121F"/>
    <w:rsid w:val="00561349"/>
    <w:rsid w:val="0056138C"/>
    <w:rsid w:val="005613C4"/>
    <w:rsid w:val="005614AF"/>
    <w:rsid w:val="00562125"/>
    <w:rsid w:val="00563C8D"/>
    <w:rsid w:val="0056414F"/>
    <w:rsid w:val="005643A9"/>
    <w:rsid w:val="00564DD7"/>
    <w:rsid w:val="00565D18"/>
    <w:rsid w:val="0056617B"/>
    <w:rsid w:val="005663D5"/>
    <w:rsid w:val="005664CA"/>
    <w:rsid w:val="005665C5"/>
    <w:rsid w:val="0056733A"/>
    <w:rsid w:val="00567644"/>
    <w:rsid w:val="00567CCF"/>
    <w:rsid w:val="005702FB"/>
    <w:rsid w:val="005705A2"/>
    <w:rsid w:val="00570BF3"/>
    <w:rsid w:val="00570C2A"/>
    <w:rsid w:val="00571171"/>
    <w:rsid w:val="005711B9"/>
    <w:rsid w:val="00571BFF"/>
    <w:rsid w:val="00571C37"/>
    <w:rsid w:val="005724A7"/>
    <w:rsid w:val="00572505"/>
    <w:rsid w:val="00572B0E"/>
    <w:rsid w:val="005730C2"/>
    <w:rsid w:val="0057421A"/>
    <w:rsid w:val="00574D55"/>
    <w:rsid w:val="0057517B"/>
    <w:rsid w:val="00575E8E"/>
    <w:rsid w:val="00576295"/>
    <w:rsid w:val="005779D2"/>
    <w:rsid w:val="00580202"/>
    <w:rsid w:val="00582041"/>
    <w:rsid w:val="0058267B"/>
    <w:rsid w:val="00582809"/>
    <w:rsid w:val="00583214"/>
    <w:rsid w:val="0058350E"/>
    <w:rsid w:val="00583A7A"/>
    <w:rsid w:val="005844F4"/>
    <w:rsid w:val="00584ACD"/>
    <w:rsid w:val="00584E55"/>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294"/>
    <w:rsid w:val="0059549A"/>
    <w:rsid w:val="00595877"/>
    <w:rsid w:val="00595B14"/>
    <w:rsid w:val="00595DCA"/>
    <w:rsid w:val="00595F2B"/>
    <w:rsid w:val="00596ABE"/>
    <w:rsid w:val="00596D6B"/>
    <w:rsid w:val="00596FA1"/>
    <w:rsid w:val="0059734A"/>
    <w:rsid w:val="0059779B"/>
    <w:rsid w:val="005978E8"/>
    <w:rsid w:val="00597AD9"/>
    <w:rsid w:val="005A04BF"/>
    <w:rsid w:val="005A05B2"/>
    <w:rsid w:val="005A113D"/>
    <w:rsid w:val="005A12D3"/>
    <w:rsid w:val="005A1979"/>
    <w:rsid w:val="005A209A"/>
    <w:rsid w:val="005A22B5"/>
    <w:rsid w:val="005A2347"/>
    <w:rsid w:val="005A2A1F"/>
    <w:rsid w:val="005A2C4D"/>
    <w:rsid w:val="005A386A"/>
    <w:rsid w:val="005A3CA8"/>
    <w:rsid w:val="005A42A3"/>
    <w:rsid w:val="005A4B5A"/>
    <w:rsid w:val="005A4C55"/>
    <w:rsid w:val="005A54BB"/>
    <w:rsid w:val="005A662D"/>
    <w:rsid w:val="005A66B8"/>
    <w:rsid w:val="005A6C45"/>
    <w:rsid w:val="005A6E65"/>
    <w:rsid w:val="005A7219"/>
    <w:rsid w:val="005A745C"/>
    <w:rsid w:val="005A78CA"/>
    <w:rsid w:val="005B00F7"/>
    <w:rsid w:val="005B0103"/>
    <w:rsid w:val="005B045C"/>
    <w:rsid w:val="005B07EE"/>
    <w:rsid w:val="005B0C76"/>
    <w:rsid w:val="005B0E95"/>
    <w:rsid w:val="005B19D1"/>
    <w:rsid w:val="005B1FA4"/>
    <w:rsid w:val="005B2411"/>
    <w:rsid w:val="005B25F7"/>
    <w:rsid w:val="005B28BD"/>
    <w:rsid w:val="005B28F4"/>
    <w:rsid w:val="005B35D7"/>
    <w:rsid w:val="005B391E"/>
    <w:rsid w:val="005B392A"/>
    <w:rsid w:val="005B3AA3"/>
    <w:rsid w:val="005B3B55"/>
    <w:rsid w:val="005B3F83"/>
    <w:rsid w:val="005B4A44"/>
    <w:rsid w:val="005B4EC1"/>
    <w:rsid w:val="005B555E"/>
    <w:rsid w:val="005B606D"/>
    <w:rsid w:val="005B6089"/>
    <w:rsid w:val="005B6F83"/>
    <w:rsid w:val="005B733B"/>
    <w:rsid w:val="005B7549"/>
    <w:rsid w:val="005C058C"/>
    <w:rsid w:val="005C083C"/>
    <w:rsid w:val="005C08A9"/>
    <w:rsid w:val="005C0D8C"/>
    <w:rsid w:val="005C2324"/>
    <w:rsid w:val="005C24C1"/>
    <w:rsid w:val="005C2C3C"/>
    <w:rsid w:val="005C377E"/>
    <w:rsid w:val="005C480E"/>
    <w:rsid w:val="005C5143"/>
    <w:rsid w:val="005C5A4F"/>
    <w:rsid w:val="005C5E82"/>
    <w:rsid w:val="005C6023"/>
    <w:rsid w:val="005C6BCE"/>
    <w:rsid w:val="005C7029"/>
    <w:rsid w:val="005C74FB"/>
    <w:rsid w:val="005C7752"/>
    <w:rsid w:val="005C78F9"/>
    <w:rsid w:val="005C78FE"/>
    <w:rsid w:val="005C7C90"/>
    <w:rsid w:val="005C7F26"/>
    <w:rsid w:val="005D0654"/>
    <w:rsid w:val="005D070F"/>
    <w:rsid w:val="005D085F"/>
    <w:rsid w:val="005D0FA1"/>
    <w:rsid w:val="005D0FCF"/>
    <w:rsid w:val="005D1602"/>
    <w:rsid w:val="005D1F22"/>
    <w:rsid w:val="005D1F90"/>
    <w:rsid w:val="005D259C"/>
    <w:rsid w:val="005D2953"/>
    <w:rsid w:val="005D299D"/>
    <w:rsid w:val="005D309C"/>
    <w:rsid w:val="005D4FEE"/>
    <w:rsid w:val="005D57DB"/>
    <w:rsid w:val="005D6F4A"/>
    <w:rsid w:val="005D7306"/>
    <w:rsid w:val="005D755B"/>
    <w:rsid w:val="005E240B"/>
    <w:rsid w:val="005E279B"/>
    <w:rsid w:val="005E339D"/>
    <w:rsid w:val="005E385F"/>
    <w:rsid w:val="005E405F"/>
    <w:rsid w:val="005E4801"/>
    <w:rsid w:val="005E4BCD"/>
    <w:rsid w:val="005E4D91"/>
    <w:rsid w:val="005E4E33"/>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83C"/>
    <w:rsid w:val="006033E0"/>
    <w:rsid w:val="00603432"/>
    <w:rsid w:val="00603BE4"/>
    <w:rsid w:val="006048D0"/>
    <w:rsid w:val="00604A23"/>
    <w:rsid w:val="00604AF0"/>
    <w:rsid w:val="00604D51"/>
    <w:rsid w:val="00604F14"/>
    <w:rsid w:val="006057D3"/>
    <w:rsid w:val="00605872"/>
    <w:rsid w:val="00605F62"/>
    <w:rsid w:val="00605FF4"/>
    <w:rsid w:val="00606E37"/>
    <w:rsid w:val="0060731F"/>
    <w:rsid w:val="0060741F"/>
    <w:rsid w:val="00607C83"/>
    <w:rsid w:val="00607EE0"/>
    <w:rsid w:val="006102C9"/>
    <w:rsid w:val="00611AA3"/>
    <w:rsid w:val="00611B83"/>
    <w:rsid w:val="006121D5"/>
    <w:rsid w:val="00612656"/>
    <w:rsid w:val="00612A08"/>
    <w:rsid w:val="00612B59"/>
    <w:rsid w:val="00613257"/>
    <w:rsid w:val="00614826"/>
    <w:rsid w:val="00615223"/>
    <w:rsid w:val="006159A7"/>
    <w:rsid w:val="00617415"/>
    <w:rsid w:val="0061798A"/>
    <w:rsid w:val="006203AD"/>
    <w:rsid w:val="00620976"/>
    <w:rsid w:val="00620A71"/>
    <w:rsid w:val="00620D80"/>
    <w:rsid w:val="00620DD6"/>
    <w:rsid w:val="006211C2"/>
    <w:rsid w:val="006222DA"/>
    <w:rsid w:val="00622A62"/>
    <w:rsid w:val="00622CDF"/>
    <w:rsid w:val="00622EDA"/>
    <w:rsid w:val="006234A6"/>
    <w:rsid w:val="00623C67"/>
    <w:rsid w:val="0062414E"/>
    <w:rsid w:val="00624D23"/>
    <w:rsid w:val="00624F67"/>
    <w:rsid w:val="006250F2"/>
    <w:rsid w:val="006251C7"/>
    <w:rsid w:val="00625E09"/>
    <w:rsid w:val="00626388"/>
    <w:rsid w:val="0062725E"/>
    <w:rsid w:val="00627634"/>
    <w:rsid w:val="00627ADC"/>
    <w:rsid w:val="00630001"/>
    <w:rsid w:val="00630C1D"/>
    <w:rsid w:val="00631179"/>
    <w:rsid w:val="006311B3"/>
    <w:rsid w:val="00631C6B"/>
    <w:rsid w:val="00632022"/>
    <w:rsid w:val="00632155"/>
    <w:rsid w:val="00632415"/>
    <w:rsid w:val="0063284C"/>
    <w:rsid w:val="0063309B"/>
    <w:rsid w:val="006332B7"/>
    <w:rsid w:val="006338E7"/>
    <w:rsid w:val="006345DA"/>
    <w:rsid w:val="006347E6"/>
    <w:rsid w:val="00634AC8"/>
    <w:rsid w:val="00635483"/>
    <w:rsid w:val="00636087"/>
    <w:rsid w:val="00636398"/>
    <w:rsid w:val="00636432"/>
    <w:rsid w:val="006364F1"/>
    <w:rsid w:val="006368D3"/>
    <w:rsid w:val="0063762D"/>
    <w:rsid w:val="006377EC"/>
    <w:rsid w:val="00637BF3"/>
    <w:rsid w:val="00640405"/>
    <w:rsid w:val="00640890"/>
    <w:rsid w:val="00640A08"/>
    <w:rsid w:val="00640D8D"/>
    <w:rsid w:val="00640EC4"/>
    <w:rsid w:val="00640EFB"/>
    <w:rsid w:val="0064151F"/>
    <w:rsid w:val="00641533"/>
    <w:rsid w:val="0064208D"/>
    <w:rsid w:val="0064307A"/>
    <w:rsid w:val="00643449"/>
    <w:rsid w:val="00643475"/>
    <w:rsid w:val="0064396A"/>
    <w:rsid w:val="0064401E"/>
    <w:rsid w:val="00644C63"/>
    <w:rsid w:val="00645E14"/>
    <w:rsid w:val="00645FB8"/>
    <w:rsid w:val="0064624E"/>
    <w:rsid w:val="00646EB7"/>
    <w:rsid w:val="00647165"/>
    <w:rsid w:val="0064788F"/>
    <w:rsid w:val="00647FC4"/>
    <w:rsid w:val="00650339"/>
    <w:rsid w:val="00650AB9"/>
    <w:rsid w:val="00651C75"/>
    <w:rsid w:val="00651F82"/>
    <w:rsid w:val="0065294A"/>
    <w:rsid w:val="00652EE5"/>
    <w:rsid w:val="006532C0"/>
    <w:rsid w:val="00653DDF"/>
    <w:rsid w:val="00654867"/>
    <w:rsid w:val="00655733"/>
    <w:rsid w:val="00655ACD"/>
    <w:rsid w:val="00656027"/>
    <w:rsid w:val="00656520"/>
    <w:rsid w:val="00656A92"/>
    <w:rsid w:val="00656D85"/>
    <w:rsid w:val="00656DDE"/>
    <w:rsid w:val="0065707B"/>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345"/>
    <w:rsid w:val="00671A0E"/>
    <w:rsid w:val="0067218F"/>
    <w:rsid w:val="006723DA"/>
    <w:rsid w:val="006741F2"/>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2BF4"/>
    <w:rsid w:val="00683ECE"/>
    <w:rsid w:val="0068429A"/>
    <w:rsid w:val="0068434D"/>
    <w:rsid w:val="006845BD"/>
    <w:rsid w:val="006848CD"/>
    <w:rsid w:val="00684B60"/>
    <w:rsid w:val="00684CDB"/>
    <w:rsid w:val="00685145"/>
    <w:rsid w:val="006858A0"/>
    <w:rsid w:val="00686808"/>
    <w:rsid w:val="00686D5F"/>
    <w:rsid w:val="00686D9A"/>
    <w:rsid w:val="0069110B"/>
    <w:rsid w:val="0069251C"/>
    <w:rsid w:val="00692AAC"/>
    <w:rsid w:val="0069334D"/>
    <w:rsid w:val="00693640"/>
    <w:rsid w:val="006949B8"/>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97B"/>
    <w:rsid w:val="006A6A1F"/>
    <w:rsid w:val="006A6BCC"/>
    <w:rsid w:val="006A7AFF"/>
    <w:rsid w:val="006A7B05"/>
    <w:rsid w:val="006B16E9"/>
    <w:rsid w:val="006B1816"/>
    <w:rsid w:val="006B1CE7"/>
    <w:rsid w:val="006B1E72"/>
    <w:rsid w:val="006B2099"/>
    <w:rsid w:val="006B2866"/>
    <w:rsid w:val="006B28C6"/>
    <w:rsid w:val="006B3079"/>
    <w:rsid w:val="006B4684"/>
    <w:rsid w:val="006B50CF"/>
    <w:rsid w:val="006B54E9"/>
    <w:rsid w:val="006B5530"/>
    <w:rsid w:val="006B68A1"/>
    <w:rsid w:val="006B694F"/>
    <w:rsid w:val="006B7DE8"/>
    <w:rsid w:val="006B7E22"/>
    <w:rsid w:val="006C03B8"/>
    <w:rsid w:val="006C14C0"/>
    <w:rsid w:val="006C1B6D"/>
    <w:rsid w:val="006C1CA0"/>
    <w:rsid w:val="006C1F13"/>
    <w:rsid w:val="006C2B2E"/>
    <w:rsid w:val="006C3394"/>
    <w:rsid w:val="006C3E34"/>
    <w:rsid w:val="006C4610"/>
    <w:rsid w:val="006C4B33"/>
    <w:rsid w:val="006C528A"/>
    <w:rsid w:val="006C5AA4"/>
    <w:rsid w:val="006C5D55"/>
    <w:rsid w:val="006C5EC9"/>
    <w:rsid w:val="006C6059"/>
    <w:rsid w:val="006C6569"/>
    <w:rsid w:val="006C6927"/>
    <w:rsid w:val="006C7522"/>
    <w:rsid w:val="006D0023"/>
    <w:rsid w:val="006D0D96"/>
    <w:rsid w:val="006D0E36"/>
    <w:rsid w:val="006D1694"/>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9A4"/>
    <w:rsid w:val="006E4E39"/>
    <w:rsid w:val="006E551D"/>
    <w:rsid w:val="006E558B"/>
    <w:rsid w:val="006E565E"/>
    <w:rsid w:val="006E56C1"/>
    <w:rsid w:val="006E5BC1"/>
    <w:rsid w:val="006E66C9"/>
    <w:rsid w:val="006E673D"/>
    <w:rsid w:val="006E6BFB"/>
    <w:rsid w:val="006E6FE7"/>
    <w:rsid w:val="006E7B47"/>
    <w:rsid w:val="006E7D3B"/>
    <w:rsid w:val="006F02EF"/>
    <w:rsid w:val="006F0CCB"/>
    <w:rsid w:val="006F1B45"/>
    <w:rsid w:val="006F1B70"/>
    <w:rsid w:val="006F1F43"/>
    <w:rsid w:val="006F23B1"/>
    <w:rsid w:val="006F341D"/>
    <w:rsid w:val="006F3A6E"/>
    <w:rsid w:val="006F3CDE"/>
    <w:rsid w:val="006F41D0"/>
    <w:rsid w:val="006F508A"/>
    <w:rsid w:val="006F58D4"/>
    <w:rsid w:val="006F65F6"/>
    <w:rsid w:val="006F72EC"/>
    <w:rsid w:val="006F7CB8"/>
    <w:rsid w:val="00700117"/>
    <w:rsid w:val="007011EE"/>
    <w:rsid w:val="00701983"/>
    <w:rsid w:val="00701CAC"/>
    <w:rsid w:val="007023B0"/>
    <w:rsid w:val="00702852"/>
    <w:rsid w:val="0070346E"/>
    <w:rsid w:val="007034C6"/>
    <w:rsid w:val="007036E6"/>
    <w:rsid w:val="0070378F"/>
    <w:rsid w:val="00703F45"/>
    <w:rsid w:val="00703FA2"/>
    <w:rsid w:val="00704EDB"/>
    <w:rsid w:val="0070537F"/>
    <w:rsid w:val="00706101"/>
    <w:rsid w:val="00707072"/>
    <w:rsid w:val="007074FD"/>
    <w:rsid w:val="00707571"/>
    <w:rsid w:val="00707D61"/>
    <w:rsid w:val="0071027F"/>
    <w:rsid w:val="00710CBF"/>
    <w:rsid w:val="00711818"/>
    <w:rsid w:val="00712287"/>
    <w:rsid w:val="0071242E"/>
    <w:rsid w:val="00712772"/>
    <w:rsid w:val="00712C4F"/>
    <w:rsid w:val="00712CB9"/>
    <w:rsid w:val="007133BF"/>
    <w:rsid w:val="00713419"/>
    <w:rsid w:val="0071380C"/>
    <w:rsid w:val="00713960"/>
    <w:rsid w:val="00713A89"/>
    <w:rsid w:val="00713BF5"/>
    <w:rsid w:val="007148D3"/>
    <w:rsid w:val="00715B9A"/>
    <w:rsid w:val="00716535"/>
    <w:rsid w:val="00716CBB"/>
    <w:rsid w:val="00717F87"/>
    <w:rsid w:val="00720160"/>
    <w:rsid w:val="00720B41"/>
    <w:rsid w:val="00721593"/>
    <w:rsid w:val="00721626"/>
    <w:rsid w:val="00722660"/>
    <w:rsid w:val="00722A5B"/>
    <w:rsid w:val="00722CDD"/>
    <w:rsid w:val="00723F81"/>
    <w:rsid w:val="00724024"/>
    <w:rsid w:val="00724463"/>
    <w:rsid w:val="00724566"/>
    <w:rsid w:val="00726EA6"/>
    <w:rsid w:val="00727208"/>
    <w:rsid w:val="00727680"/>
    <w:rsid w:val="00727ABB"/>
    <w:rsid w:val="00727E17"/>
    <w:rsid w:val="00727F23"/>
    <w:rsid w:val="0073020A"/>
    <w:rsid w:val="0073085A"/>
    <w:rsid w:val="00730AB1"/>
    <w:rsid w:val="007322A9"/>
    <w:rsid w:val="007327BA"/>
    <w:rsid w:val="00732D07"/>
    <w:rsid w:val="00733B9D"/>
    <w:rsid w:val="007340BC"/>
    <w:rsid w:val="00734801"/>
    <w:rsid w:val="007348B1"/>
    <w:rsid w:val="00734B23"/>
    <w:rsid w:val="007354A6"/>
    <w:rsid w:val="007359AC"/>
    <w:rsid w:val="00735B71"/>
    <w:rsid w:val="00735B9A"/>
    <w:rsid w:val="007360AA"/>
    <w:rsid w:val="007362A6"/>
    <w:rsid w:val="00736D7D"/>
    <w:rsid w:val="0073733D"/>
    <w:rsid w:val="00737BD3"/>
    <w:rsid w:val="00737F85"/>
    <w:rsid w:val="007408F0"/>
    <w:rsid w:val="00740E58"/>
    <w:rsid w:val="00741966"/>
    <w:rsid w:val="00741E4E"/>
    <w:rsid w:val="00741EB9"/>
    <w:rsid w:val="00742B4F"/>
    <w:rsid w:val="007434A0"/>
    <w:rsid w:val="0074386C"/>
    <w:rsid w:val="0074405B"/>
    <w:rsid w:val="007445A0"/>
    <w:rsid w:val="00744A3A"/>
    <w:rsid w:val="0074524B"/>
    <w:rsid w:val="0074576E"/>
    <w:rsid w:val="007457F6"/>
    <w:rsid w:val="007458F5"/>
    <w:rsid w:val="00746BF1"/>
    <w:rsid w:val="00747ADC"/>
    <w:rsid w:val="00747C5C"/>
    <w:rsid w:val="00747D8B"/>
    <w:rsid w:val="0075008C"/>
    <w:rsid w:val="007506AF"/>
    <w:rsid w:val="00751228"/>
    <w:rsid w:val="0075193B"/>
    <w:rsid w:val="007522EA"/>
    <w:rsid w:val="007524C6"/>
    <w:rsid w:val="00752E33"/>
    <w:rsid w:val="007531DB"/>
    <w:rsid w:val="0075380A"/>
    <w:rsid w:val="00753DF3"/>
    <w:rsid w:val="00753EFB"/>
    <w:rsid w:val="007541A7"/>
    <w:rsid w:val="0075420F"/>
    <w:rsid w:val="00754B5C"/>
    <w:rsid w:val="00755305"/>
    <w:rsid w:val="00755408"/>
    <w:rsid w:val="00755BC4"/>
    <w:rsid w:val="007571E1"/>
    <w:rsid w:val="007578C3"/>
    <w:rsid w:val="00757DBF"/>
    <w:rsid w:val="007604B2"/>
    <w:rsid w:val="00760527"/>
    <w:rsid w:val="00760BCF"/>
    <w:rsid w:val="00760EE7"/>
    <w:rsid w:val="00760FCB"/>
    <w:rsid w:val="00761C14"/>
    <w:rsid w:val="0076265F"/>
    <w:rsid w:val="00762737"/>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BAD"/>
    <w:rsid w:val="00766D47"/>
    <w:rsid w:val="00766E11"/>
    <w:rsid w:val="007679F8"/>
    <w:rsid w:val="0077013F"/>
    <w:rsid w:val="007708DF"/>
    <w:rsid w:val="007710B7"/>
    <w:rsid w:val="00771371"/>
    <w:rsid w:val="007717B7"/>
    <w:rsid w:val="007717C0"/>
    <w:rsid w:val="00771DE9"/>
    <w:rsid w:val="007730BD"/>
    <w:rsid w:val="007731D3"/>
    <w:rsid w:val="00773C0A"/>
    <w:rsid w:val="00773CF7"/>
    <w:rsid w:val="0077513F"/>
    <w:rsid w:val="007753B5"/>
    <w:rsid w:val="007755F2"/>
    <w:rsid w:val="00776469"/>
    <w:rsid w:val="00776971"/>
    <w:rsid w:val="00776B48"/>
    <w:rsid w:val="00776EAB"/>
    <w:rsid w:val="0077725D"/>
    <w:rsid w:val="00777D77"/>
    <w:rsid w:val="00780BB0"/>
    <w:rsid w:val="00780BFD"/>
    <w:rsid w:val="0078177E"/>
    <w:rsid w:val="007818BE"/>
    <w:rsid w:val="00781CC8"/>
    <w:rsid w:val="00782ABD"/>
    <w:rsid w:val="00782FCE"/>
    <w:rsid w:val="0078304C"/>
    <w:rsid w:val="00783673"/>
    <w:rsid w:val="007836D9"/>
    <w:rsid w:val="00784795"/>
    <w:rsid w:val="00785004"/>
    <w:rsid w:val="00785490"/>
    <w:rsid w:val="0078549A"/>
    <w:rsid w:val="0079029C"/>
    <w:rsid w:val="00790E12"/>
    <w:rsid w:val="00790F2A"/>
    <w:rsid w:val="007912CF"/>
    <w:rsid w:val="00791DCB"/>
    <w:rsid w:val="00791F25"/>
    <w:rsid w:val="007925EA"/>
    <w:rsid w:val="00793853"/>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2B8B"/>
    <w:rsid w:val="007A306F"/>
    <w:rsid w:val="007A3647"/>
    <w:rsid w:val="007A43A6"/>
    <w:rsid w:val="007A495C"/>
    <w:rsid w:val="007A58A6"/>
    <w:rsid w:val="007A5DCE"/>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C0C"/>
    <w:rsid w:val="007B7CDE"/>
    <w:rsid w:val="007B7CF7"/>
    <w:rsid w:val="007B7E82"/>
    <w:rsid w:val="007C0054"/>
    <w:rsid w:val="007C05DD"/>
    <w:rsid w:val="007C0646"/>
    <w:rsid w:val="007C0D06"/>
    <w:rsid w:val="007C0FFA"/>
    <w:rsid w:val="007C20CC"/>
    <w:rsid w:val="007C28A2"/>
    <w:rsid w:val="007C2DC6"/>
    <w:rsid w:val="007C2F67"/>
    <w:rsid w:val="007C3C3F"/>
    <w:rsid w:val="007C3D18"/>
    <w:rsid w:val="007C43A6"/>
    <w:rsid w:val="007C590A"/>
    <w:rsid w:val="007C59CA"/>
    <w:rsid w:val="007C60BF"/>
    <w:rsid w:val="007C67F8"/>
    <w:rsid w:val="007C6A07"/>
    <w:rsid w:val="007C6C90"/>
    <w:rsid w:val="007C6F3E"/>
    <w:rsid w:val="007C75A1"/>
    <w:rsid w:val="007C75EC"/>
    <w:rsid w:val="007C77A5"/>
    <w:rsid w:val="007C7929"/>
    <w:rsid w:val="007C7CBF"/>
    <w:rsid w:val="007D02B0"/>
    <w:rsid w:val="007D04E5"/>
    <w:rsid w:val="007D0FCD"/>
    <w:rsid w:val="007D1106"/>
    <w:rsid w:val="007D1626"/>
    <w:rsid w:val="007D1B33"/>
    <w:rsid w:val="007D1E06"/>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69A"/>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4350"/>
    <w:rsid w:val="007F4C41"/>
    <w:rsid w:val="007F4DAB"/>
    <w:rsid w:val="007F64B9"/>
    <w:rsid w:val="007F71CE"/>
    <w:rsid w:val="007F75EF"/>
    <w:rsid w:val="007F77D6"/>
    <w:rsid w:val="0080078F"/>
    <w:rsid w:val="008015DF"/>
    <w:rsid w:val="00801F95"/>
    <w:rsid w:val="008020FE"/>
    <w:rsid w:val="008029EE"/>
    <w:rsid w:val="008035AD"/>
    <w:rsid w:val="008035DA"/>
    <w:rsid w:val="008038B5"/>
    <w:rsid w:val="00803F9A"/>
    <w:rsid w:val="00803FAE"/>
    <w:rsid w:val="00803FC4"/>
    <w:rsid w:val="008047FC"/>
    <w:rsid w:val="00804A34"/>
    <w:rsid w:val="008054A8"/>
    <w:rsid w:val="008056FB"/>
    <w:rsid w:val="0080605F"/>
    <w:rsid w:val="0080631F"/>
    <w:rsid w:val="00806CEA"/>
    <w:rsid w:val="00806D00"/>
    <w:rsid w:val="00806F4B"/>
    <w:rsid w:val="00807407"/>
    <w:rsid w:val="0080763E"/>
    <w:rsid w:val="00807786"/>
    <w:rsid w:val="008102E6"/>
    <w:rsid w:val="008104DC"/>
    <w:rsid w:val="008108BD"/>
    <w:rsid w:val="0081132E"/>
    <w:rsid w:val="00811E00"/>
    <w:rsid w:val="00811FCB"/>
    <w:rsid w:val="008120BE"/>
    <w:rsid w:val="0081252B"/>
    <w:rsid w:val="008141E0"/>
    <w:rsid w:val="00815792"/>
    <w:rsid w:val="0081583D"/>
    <w:rsid w:val="008158D6"/>
    <w:rsid w:val="00816061"/>
    <w:rsid w:val="00816ABE"/>
    <w:rsid w:val="00816B4A"/>
    <w:rsid w:val="00817121"/>
    <w:rsid w:val="00817196"/>
    <w:rsid w:val="00817A4D"/>
    <w:rsid w:val="00817C38"/>
    <w:rsid w:val="00817EDE"/>
    <w:rsid w:val="008205DF"/>
    <w:rsid w:val="00820938"/>
    <w:rsid w:val="00820A44"/>
    <w:rsid w:val="008217A8"/>
    <w:rsid w:val="00821E87"/>
    <w:rsid w:val="008229E5"/>
    <w:rsid w:val="008230E6"/>
    <w:rsid w:val="00823367"/>
    <w:rsid w:val="008235DB"/>
    <w:rsid w:val="00823790"/>
    <w:rsid w:val="00824157"/>
    <w:rsid w:val="0082415F"/>
    <w:rsid w:val="008243B5"/>
    <w:rsid w:val="008246ED"/>
    <w:rsid w:val="00824AB4"/>
    <w:rsid w:val="00824E9F"/>
    <w:rsid w:val="00825C42"/>
    <w:rsid w:val="00825D25"/>
    <w:rsid w:val="008260BF"/>
    <w:rsid w:val="00826187"/>
    <w:rsid w:val="00826EDA"/>
    <w:rsid w:val="008279C8"/>
    <w:rsid w:val="00827D6F"/>
    <w:rsid w:val="008300C8"/>
    <w:rsid w:val="0083036A"/>
    <w:rsid w:val="008304CD"/>
    <w:rsid w:val="008321CB"/>
    <w:rsid w:val="008323D5"/>
    <w:rsid w:val="008329F1"/>
    <w:rsid w:val="00833563"/>
    <w:rsid w:val="008335B1"/>
    <w:rsid w:val="00834972"/>
    <w:rsid w:val="00835327"/>
    <w:rsid w:val="00835DD6"/>
    <w:rsid w:val="008366C1"/>
    <w:rsid w:val="008367F2"/>
    <w:rsid w:val="008376AC"/>
    <w:rsid w:val="008379EE"/>
    <w:rsid w:val="00841B0A"/>
    <w:rsid w:val="0084221B"/>
    <w:rsid w:val="008433AF"/>
    <w:rsid w:val="008436F6"/>
    <w:rsid w:val="0084405D"/>
    <w:rsid w:val="008441EB"/>
    <w:rsid w:val="008444E8"/>
    <w:rsid w:val="008448B4"/>
    <w:rsid w:val="00844E80"/>
    <w:rsid w:val="00845378"/>
    <w:rsid w:val="0084537C"/>
    <w:rsid w:val="00846090"/>
    <w:rsid w:val="0084614F"/>
    <w:rsid w:val="00846723"/>
    <w:rsid w:val="00846FE7"/>
    <w:rsid w:val="00850246"/>
    <w:rsid w:val="00850CEC"/>
    <w:rsid w:val="00850E36"/>
    <w:rsid w:val="00850E45"/>
    <w:rsid w:val="00850EF8"/>
    <w:rsid w:val="008519C5"/>
    <w:rsid w:val="00851C1E"/>
    <w:rsid w:val="00851D56"/>
    <w:rsid w:val="00853140"/>
    <w:rsid w:val="00853502"/>
    <w:rsid w:val="008537ED"/>
    <w:rsid w:val="00855B90"/>
    <w:rsid w:val="00855EF4"/>
    <w:rsid w:val="00856208"/>
    <w:rsid w:val="008562D9"/>
    <w:rsid w:val="00856498"/>
    <w:rsid w:val="00856911"/>
    <w:rsid w:val="00856C5F"/>
    <w:rsid w:val="008579E5"/>
    <w:rsid w:val="00857FCA"/>
    <w:rsid w:val="00860495"/>
    <w:rsid w:val="00861095"/>
    <w:rsid w:val="00862708"/>
    <w:rsid w:val="00863017"/>
    <w:rsid w:val="008634B3"/>
    <w:rsid w:val="008636C0"/>
    <w:rsid w:val="00863810"/>
    <w:rsid w:val="00863B58"/>
    <w:rsid w:val="00863D18"/>
    <w:rsid w:val="008655C1"/>
    <w:rsid w:val="00865647"/>
    <w:rsid w:val="0086574E"/>
    <w:rsid w:val="008658ED"/>
    <w:rsid w:val="00865D60"/>
    <w:rsid w:val="008663AE"/>
    <w:rsid w:val="00866509"/>
    <w:rsid w:val="00866646"/>
    <w:rsid w:val="008669CC"/>
    <w:rsid w:val="00866EC2"/>
    <w:rsid w:val="0086742F"/>
    <w:rsid w:val="008677FD"/>
    <w:rsid w:val="008678D2"/>
    <w:rsid w:val="00867B56"/>
    <w:rsid w:val="00867B93"/>
    <w:rsid w:val="00867C7B"/>
    <w:rsid w:val="00870077"/>
    <w:rsid w:val="00870296"/>
    <w:rsid w:val="0087043A"/>
    <w:rsid w:val="00870581"/>
    <w:rsid w:val="008706D4"/>
    <w:rsid w:val="008706E0"/>
    <w:rsid w:val="00870F8A"/>
    <w:rsid w:val="008719A4"/>
    <w:rsid w:val="00871BD7"/>
    <w:rsid w:val="00871D23"/>
    <w:rsid w:val="008721D4"/>
    <w:rsid w:val="008722F9"/>
    <w:rsid w:val="00872782"/>
    <w:rsid w:val="008727CF"/>
    <w:rsid w:val="008728C4"/>
    <w:rsid w:val="00873C5D"/>
    <w:rsid w:val="00874203"/>
    <w:rsid w:val="00874312"/>
    <w:rsid w:val="0087437C"/>
    <w:rsid w:val="00874405"/>
    <w:rsid w:val="00874688"/>
    <w:rsid w:val="00875A58"/>
    <w:rsid w:val="00875CD7"/>
    <w:rsid w:val="0087608E"/>
    <w:rsid w:val="00876B4D"/>
    <w:rsid w:val="00876D5E"/>
    <w:rsid w:val="00876EDC"/>
    <w:rsid w:val="00876F4E"/>
    <w:rsid w:val="00877F18"/>
    <w:rsid w:val="00880963"/>
    <w:rsid w:val="00880BBE"/>
    <w:rsid w:val="00881496"/>
    <w:rsid w:val="0088201A"/>
    <w:rsid w:val="00883154"/>
    <w:rsid w:val="008831AD"/>
    <w:rsid w:val="0088324E"/>
    <w:rsid w:val="00883680"/>
    <w:rsid w:val="00883A4A"/>
    <w:rsid w:val="00883F8A"/>
    <w:rsid w:val="00884D89"/>
    <w:rsid w:val="00884EE7"/>
    <w:rsid w:val="008850EF"/>
    <w:rsid w:val="00885820"/>
    <w:rsid w:val="0088638F"/>
    <w:rsid w:val="00886784"/>
    <w:rsid w:val="00886A69"/>
    <w:rsid w:val="00886CEF"/>
    <w:rsid w:val="0088730D"/>
    <w:rsid w:val="008878B2"/>
    <w:rsid w:val="0089067A"/>
    <w:rsid w:val="00890930"/>
    <w:rsid w:val="00891466"/>
    <w:rsid w:val="00891B88"/>
    <w:rsid w:val="008929DB"/>
    <w:rsid w:val="008935D9"/>
    <w:rsid w:val="00894A88"/>
    <w:rsid w:val="00894C14"/>
    <w:rsid w:val="00894F43"/>
    <w:rsid w:val="00895215"/>
    <w:rsid w:val="00895386"/>
    <w:rsid w:val="008956A6"/>
    <w:rsid w:val="008957FA"/>
    <w:rsid w:val="00895CAA"/>
    <w:rsid w:val="00896439"/>
    <w:rsid w:val="00896572"/>
    <w:rsid w:val="0089699F"/>
    <w:rsid w:val="00896D3D"/>
    <w:rsid w:val="00897065"/>
    <w:rsid w:val="008A08E1"/>
    <w:rsid w:val="008A0E79"/>
    <w:rsid w:val="008A21FF"/>
    <w:rsid w:val="008A2902"/>
    <w:rsid w:val="008A2CE2"/>
    <w:rsid w:val="008A30AC"/>
    <w:rsid w:val="008A35D4"/>
    <w:rsid w:val="008A3809"/>
    <w:rsid w:val="008A39A2"/>
    <w:rsid w:val="008A3F81"/>
    <w:rsid w:val="008A41F4"/>
    <w:rsid w:val="008A44B8"/>
    <w:rsid w:val="008A4677"/>
    <w:rsid w:val="008A4CE1"/>
    <w:rsid w:val="008A4D0B"/>
    <w:rsid w:val="008A4F1F"/>
    <w:rsid w:val="008A51A8"/>
    <w:rsid w:val="008A54C7"/>
    <w:rsid w:val="008A5722"/>
    <w:rsid w:val="008A656C"/>
    <w:rsid w:val="008A6A0F"/>
    <w:rsid w:val="008A71A0"/>
    <w:rsid w:val="008A77D8"/>
    <w:rsid w:val="008B0483"/>
    <w:rsid w:val="008B0C02"/>
    <w:rsid w:val="008B120C"/>
    <w:rsid w:val="008B18C9"/>
    <w:rsid w:val="008B1DBA"/>
    <w:rsid w:val="008B2AA7"/>
    <w:rsid w:val="008B2BCE"/>
    <w:rsid w:val="008B350A"/>
    <w:rsid w:val="008B3B59"/>
    <w:rsid w:val="008B5070"/>
    <w:rsid w:val="008B51A0"/>
    <w:rsid w:val="008B54F7"/>
    <w:rsid w:val="008B592A"/>
    <w:rsid w:val="008B5D99"/>
    <w:rsid w:val="008B675A"/>
    <w:rsid w:val="008B69D2"/>
    <w:rsid w:val="008B7B5C"/>
    <w:rsid w:val="008B7BDF"/>
    <w:rsid w:val="008B7CC2"/>
    <w:rsid w:val="008C0281"/>
    <w:rsid w:val="008C0C99"/>
    <w:rsid w:val="008C131D"/>
    <w:rsid w:val="008C2017"/>
    <w:rsid w:val="008C223B"/>
    <w:rsid w:val="008C2398"/>
    <w:rsid w:val="008C24E5"/>
    <w:rsid w:val="008C27E5"/>
    <w:rsid w:val="008C2AAD"/>
    <w:rsid w:val="008C302D"/>
    <w:rsid w:val="008C35A2"/>
    <w:rsid w:val="008C3B4B"/>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2B69"/>
    <w:rsid w:val="008D2EB2"/>
    <w:rsid w:val="008D34F1"/>
    <w:rsid w:val="008D39D8"/>
    <w:rsid w:val="008D491D"/>
    <w:rsid w:val="008D4E14"/>
    <w:rsid w:val="008D4F4A"/>
    <w:rsid w:val="008D52DC"/>
    <w:rsid w:val="008D56B3"/>
    <w:rsid w:val="008D62F3"/>
    <w:rsid w:val="008D636F"/>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4D03"/>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4AF"/>
    <w:rsid w:val="008F477F"/>
    <w:rsid w:val="008F4EBB"/>
    <w:rsid w:val="008F5E2E"/>
    <w:rsid w:val="008F600C"/>
    <w:rsid w:val="008F6520"/>
    <w:rsid w:val="008F6AB2"/>
    <w:rsid w:val="008F734E"/>
    <w:rsid w:val="008F7845"/>
    <w:rsid w:val="009008F4"/>
    <w:rsid w:val="00900E50"/>
    <w:rsid w:val="009016CE"/>
    <w:rsid w:val="00901A60"/>
    <w:rsid w:val="00902350"/>
    <w:rsid w:val="009029B6"/>
    <w:rsid w:val="00902E42"/>
    <w:rsid w:val="0090336B"/>
    <w:rsid w:val="009038A0"/>
    <w:rsid w:val="00903F66"/>
    <w:rsid w:val="00904910"/>
    <w:rsid w:val="00904D21"/>
    <w:rsid w:val="009053AA"/>
    <w:rsid w:val="00905736"/>
    <w:rsid w:val="00905E82"/>
    <w:rsid w:val="00905F9B"/>
    <w:rsid w:val="00906102"/>
    <w:rsid w:val="009061DE"/>
    <w:rsid w:val="009063D5"/>
    <w:rsid w:val="00906606"/>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4BCD"/>
    <w:rsid w:val="00915172"/>
    <w:rsid w:val="00915D25"/>
    <w:rsid w:val="0091601E"/>
    <w:rsid w:val="00916079"/>
    <w:rsid w:val="00916CBE"/>
    <w:rsid w:val="00916E73"/>
    <w:rsid w:val="009170FD"/>
    <w:rsid w:val="00917468"/>
    <w:rsid w:val="00917776"/>
    <w:rsid w:val="00917CBD"/>
    <w:rsid w:val="00917CE9"/>
    <w:rsid w:val="00920BF2"/>
    <w:rsid w:val="00922010"/>
    <w:rsid w:val="0092314B"/>
    <w:rsid w:val="00923A4E"/>
    <w:rsid w:val="00923D67"/>
    <w:rsid w:val="00924DAC"/>
    <w:rsid w:val="009252AA"/>
    <w:rsid w:val="00925EF5"/>
    <w:rsid w:val="009265E0"/>
    <w:rsid w:val="00926913"/>
    <w:rsid w:val="00926BF5"/>
    <w:rsid w:val="00926DC9"/>
    <w:rsid w:val="00926FEF"/>
    <w:rsid w:val="0092740D"/>
    <w:rsid w:val="00927E6D"/>
    <w:rsid w:val="00930200"/>
    <w:rsid w:val="00931755"/>
    <w:rsid w:val="00931A1E"/>
    <w:rsid w:val="00931BD9"/>
    <w:rsid w:val="009323CE"/>
    <w:rsid w:val="0093274D"/>
    <w:rsid w:val="00933C91"/>
    <w:rsid w:val="00933D08"/>
    <w:rsid w:val="00933E23"/>
    <w:rsid w:val="0093580B"/>
    <w:rsid w:val="00935A04"/>
    <w:rsid w:val="00935DB8"/>
    <w:rsid w:val="0093607B"/>
    <w:rsid w:val="00936209"/>
    <w:rsid w:val="009368F3"/>
    <w:rsid w:val="00936A53"/>
    <w:rsid w:val="00936C07"/>
    <w:rsid w:val="00936DED"/>
    <w:rsid w:val="009373EA"/>
    <w:rsid w:val="009374D1"/>
    <w:rsid w:val="009403AC"/>
    <w:rsid w:val="009403F9"/>
    <w:rsid w:val="00940480"/>
    <w:rsid w:val="0094067B"/>
    <w:rsid w:val="009413E8"/>
    <w:rsid w:val="00941636"/>
    <w:rsid w:val="00941D35"/>
    <w:rsid w:val="00942B95"/>
    <w:rsid w:val="00943742"/>
    <w:rsid w:val="00943B2F"/>
    <w:rsid w:val="00943EE5"/>
    <w:rsid w:val="009443C0"/>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103"/>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1E8"/>
    <w:rsid w:val="009625DE"/>
    <w:rsid w:val="00962A69"/>
    <w:rsid w:val="00962ED2"/>
    <w:rsid w:val="0096346D"/>
    <w:rsid w:val="00963DDB"/>
    <w:rsid w:val="00963FF3"/>
    <w:rsid w:val="0096430A"/>
    <w:rsid w:val="00964919"/>
    <w:rsid w:val="009649F4"/>
    <w:rsid w:val="009652F7"/>
    <w:rsid w:val="0096548A"/>
    <w:rsid w:val="0096554B"/>
    <w:rsid w:val="0096584A"/>
    <w:rsid w:val="00965E60"/>
    <w:rsid w:val="00966A27"/>
    <w:rsid w:val="00966D80"/>
    <w:rsid w:val="00966F0D"/>
    <w:rsid w:val="00970C11"/>
    <w:rsid w:val="00970C44"/>
    <w:rsid w:val="00971898"/>
    <w:rsid w:val="00971C28"/>
    <w:rsid w:val="00971F08"/>
    <w:rsid w:val="0097256C"/>
    <w:rsid w:val="0097266D"/>
    <w:rsid w:val="00973057"/>
    <w:rsid w:val="00974CDA"/>
    <w:rsid w:val="00975113"/>
    <w:rsid w:val="009753B1"/>
    <w:rsid w:val="00975AEE"/>
    <w:rsid w:val="0097603D"/>
    <w:rsid w:val="00976949"/>
    <w:rsid w:val="0097720D"/>
    <w:rsid w:val="00977ACF"/>
    <w:rsid w:val="00980477"/>
    <w:rsid w:val="00980493"/>
    <w:rsid w:val="00980C74"/>
    <w:rsid w:val="00981623"/>
    <w:rsid w:val="00981A92"/>
    <w:rsid w:val="0098201E"/>
    <w:rsid w:val="00983176"/>
    <w:rsid w:val="00984714"/>
    <w:rsid w:val="00985253"/>
    <w:rsid w:val="009853B3"/>
    <w:rsid w:val="0098567E"/>
    <w:rsid w:val="009871CF"/>
    <w:rsid w:val="00990630"/>
    <w:rsid w:val="00990994"/>
    <w:rsid w:val="00990EB7"/>
    <w:rsid w:val="00991761"/>
    <w:rsid w:val="00991D44"/>
    <w:rsid w:val="00992B04"/>
    <w:rsid w:val="00992F32"/>
    <w:rsid w:val="00993092"/>
    <w:rsid w:val="0099366C"/>
    <w:rsid w:val="00993A69"/>
    <w:rsid w:val="009945D7"/>
    <w:rsid w:val="00994DCA"/>
    <w:rsid w:val="009960EC"/>
    <w:rsid w:val="0099654F"/>
    <w:rsid w:val="009968FC"/>
    <w:rsid w:val="0099691A"/>
    <w:rsid w:val="009970DD"/>
    <w:rsid w:val="009970E8"/>
    <w:rsid w:val="00997F80"/>
    <w:rsid w:val="009A046E"/>
    <w:rsid w:val="009A0C7C"/>
    <w:rsid w:val="009A0FBA"/>
    <w:rsid w:val="009A1601"/>
    <w:rsid w:val="009A1C02"/>
    <w:rsid w:val="009A1EDE"/>
    <w:rsid w:val="009A1FBB"/>
    <w:rsid w:val="009A215F"/>
    <w:rsid w:val="009A2981"/>
    <w:rsid w:val="009A34B0"/>
    <w:rsid w:val="009A36C8"/>
    <w:rsid w:val="009A4073"/>
    <w:rsid w:val="009A40D8"/>
    <w:rsid w:val="009A462D"/>
    <w:rsid w:val="009A4925"/>
    <w:rsid w:val="009A4EFA"/>
    <w:rsid w:val="009A5CBA"/>
    <w:rsid w:val="009A73C2"/>
    <w:rsid w:val="009A7F84"/>
    <w:rsid w:val="009B03DB"/>
    <w:rsid w:val="009B0B9E"/>
    <w:rsid w:val="009B1104"/>
    <w:rsid w:val="009B196C"/>
    <w:rsid w:val="009B1F30"/>
    <w:rsid w:val="009B2CD2"/>
    <w:rsid w:val="009B301E"/>
    <w:rsid w:val="009B31AE"/>
    <w:rsid w:val="009B327D"/>
    <w:rsid w:val="009B3346"/>
    <w:rsid w:val="009B3AC2"/>
    <w:rsid w:val="009B499E"/>
    <w:rsid w:val="009B4DF4"/>
    <w:rsid w:val="009B4E12"/>
    <w:rsid w:val="009B564E"/>
    <w:rsid w:val="009B5651"/>
    <w:rsid w:val="009B5D3F"/>
    <w:rsid w:val="009B5DD5"/>
    <w:rsid w:val="009B5E72"/>
    <w:rsid w:val="009B5F2C"/>
    <w:rsid w:val="009B64AC"/>
    <w:rsid w:val="009B6EC9"/>
    <w:rsid w:val="009B7243"/>
    <w:rsid w:val="009B72A3"/>
    <w:rsid w:val="009B7885"/>
    <w:rsid w:val="009B7C77"/>
    <w:rsid w:val="009B7D00"/>
    <w:rsid w:val="009B7E87"/>
    <w:rsid w:val="009C02B6"/>
    <w:rsid w:val="009C0A6B"/>
    <w:rsid w:val="009C0F39"/>
    <w:rsid w:val="009C13B9"/>
    <w:rsid w:val="009C1CD6"/>
    <w:rsid w:val="009C2978"/>
    <w:rsid w:val="009C2DB2"/>
    <w:rsid w:val="009C2F59"/>
    <w:rsid w:val="009C3212"/>
    <w:rsid w:val="009C33C1"/>
    <w:rsid w:val="009C4004"/>
    <w:rsid w:val="009C403E"/>
    <w:rsid w:val="009C438E"/>
    <w:rsid w:val="009C4756"/>
    <w:rsid w:val="009C49EC"/>
    <w:rsid w:val="009C51E5"/>
    <w:rsid w:val="009C53E2"/>
    <w:rsid w:val="009C57FC"/>
    <w:rsid w:val="009C5FE2"/>
    <w:rsid w:val="009C6AE7"/>
    <w:rsid w:val="009C6EC1"/>
    <w:rsid w:val="009C72C8"/>
    <w:rsid w:val="009C772C"/>
    <w:rsid w:val="009D0183"/>
    <w:rsid w:val="009D182E"/>
    <w:rsid w:val="009D19F7"/>
    <w:rsid w:val="009D2085"/>
    <w:rsid w:val="009D2407"/>
    <w:rsid w:val="009D27C9"/>
    <w:rsid w:val="009D287D"/>
    <w:rsid w:val="009D2C05"/>
    <w:rsid w:val="009D32C1"/>
    <w:rsid w:val="009D3331"/>
    <w:rsid w:val="009D3A44"/>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0B02"/>
    <w:rsid w:val="009E0F88"/>
    <w:rsid w:val="009E12E2"/>
    <w:rsid w:val="009E14E0"/>
    <w:rsid w:val="009E14EA"/>
    <w:rsid w:val="009E14F2"/>
    <w:rsid w:val="009E1B07"/>
    <w:rsid w:val="009E27ED"/>
    <w:rsid w:val="009E2AAE"/>
    <w:rsid w:val="009E301B"/>
    <w:rsid w:val="009E357E"/>
    <w:rsid w:val="009E35DB"/>
    <w:rsid w:val="009E465C"/>
    <w:rsid w:val="009E47A3"/>
    <w:rsid w:val="009E56DA"/>
    <w:rsid w:val="009E5775"/>
    <w:rsid w:val="009E5D56"/>
    <w:rsid w:val="009E6FDD"/>
    <w:rsid w:val="009E743D"/>
    <w:rsid w:val="009E78AE"/>
    <w:rsid w:val="009F08F3"/>
    <w:rsid w:val="009F08F5"/>
    <w:rsid w:val="009F1D4F"/>
    <w:rsid w:val="009F1ECE"/>
    <w:rsid w:val="009F247D"/>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43D"/>
    <w:rsid w:val="00A01A68"/>
    <w:rsid w:val="00A01F05"/>
    <w:rsid w:val="00A02A43"/>
    <w:rsid w:val="00A02BAC"/>
    <w:rsid w:val="00A02E5D"/>
    <w:rsid w:val="00A02F75"/>
    <w:rsid w:val="00A031C7"/>
    <w:rsid w:val="00A037D6"/>
    <w:rsid w:val="00A048A8"/>
    <w:rsid w:val="00A04CEE"/>
    <w:rsid w:val="00A04ED3"/>
    <w:rsid w:val="00A04F49"/>
    <w:rsid w:val="00A05F2D"/>
    <w:rsid w:val="00A064CA"/>
    <w:rsid w:val="00A06C98"/>
    <w:rsid w:val="00A07372"/>
    <w:rsid w:val="00A076A8"/>
    <w:rsid w:val="00A077FE"/>
    <w:rsid w:val="00A1049F"/>
    <w:rsid w:val="00A10DB8"/>
    <w:rsid w:val="00A129D7"/>
    <w:rsid w:val="00A13090"/>
    <w:rsid w:val="00A13263"/>
    <w:rsid w:val="00A13645"/>
    <w:rsid w:val="00A13E54"/>
    <w:rsid w:val="00A142A1"/>
    <w:rsid w:val="00A15202"/>
    <w:rsid w:val="00A1546C"/>
    <w:rsid w:val="00A16210"/>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7D"/>
    <w:rsid w:val="00A30187"/>
    <w:rsid w:val="00A306B7"/>
    <w:rsid w:val="00A308DA"/>
    <w:rsid w:val="00A317DE"/>
    <w:rsid w:val="00A3373F"/>
    <w:rsid w:val="00A33B8B"/>
    <w:rsid w:val="00A3448A"/>
    <w:rsid w:val="00A34A9F"/>
    <w:rsid w:val="00A34ABA"/>
    <w:rsid w:val="00A34E68"/>
    <w:rsid w:val="00A34EB7"/>
    <w:rsid w:val="00A35C90"/>
    <w:rsid w:val="00A3604C"/>
    <w:rsid w:val="00A3615C"/>
    <w:rsid w:val="00A36185"/>
    <w:rsid w:val="00A3627E"/>
    <w:rsid w:val="00A36297"/>
    <w:rsid w:val="00A3661F"/>
    <w:rsid w:val="00A378C3"/>
    <w:rsid w:val="00A37D78"/>
    <w:rsid w:val="00A40104"/>
    <w:rsid w:val="00A40236"/>
    <w:rsid w:val="00A4107B"/>
    <w:rsid w:val="00A412D6"/>
    <w:rsid w:val="00A418DC"/>
    <w:rsid w:val="00A4198B"/>
    <w:rsid w:val="00A41E2B"/>
    <w:rsid w:val="00A41FE1"/>
    <w:rsid w:val="00A42590"/>
    <w:rsid w:val="00A42DDA"/>
    <w:rsid w:val="00A43890"/>
    <w:rsid w:val="00A438D0"/>
    <w:rsid w:val="00A4423C"/>
    <w:rsid w:val="00A449B7"/>
    <w:rsid w:val="00A44FA0"/>
    <w:rsid w:val="00A452F0"/>
    <w:rsid w:val="00A456C1"/>
    <w:rsid w:val="00A45B74"/>
    <w:rsid w:val="00A45B89"/>
    <w:rsid w:val="00A45F84"/>
    <w:rsid w:val="00A461C9"/>
    <w:rsid w:val="00A4635D"/>
    <w:rsid w:val="00A4779D"/>
    <w:rsid w:val="00A47905"/>
    <w:rsid w:val="00A47CBF"/>
    <w:rsid w:val="00A50132"/>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AD4"/>
    <w:rsid w:val="00A555DE"/>
    <w:rsid w:val="00A56508"/>
    <w:rsid w:val="00A56A78"/>
    <w:rsid w:val="00A57E08"/>
    <w:rsid w:val="00A60117"/>
    <w:rsid w:val="00A61255"/>
    <w:rsid w:val="00A612BD"/>
    <w:rsid w:val="00A61359"/>
    <w:rsid w:val="00A61499"/>
    <w:rsid w:val="00A61504"/>
    <w:rsid w:val="00A618F6"/>
    <w:rsid w:val="00A6265F"/>
    <w:rsid w:val="00A626D1"/>
    <w:rsid w:val="00A62A77"/>
    <w:rsid w:val="00A62ECE"/>
    <w:rsid w:val="00A63089"/>
    <w:rsid w:val="00A63483"/>
    <w:rsid w:val="00A63542"/>
    <w:rsid w:val="00A6363A"/>
    <w:rsid w:val="00A6366C"/>
    <w:rsid w:val="00A640A8"/>
    <w:rsid w:val="00A64B0E"/>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12"/>
    <w:rsid w:val="00A708C4"/>
    <w:rsid w:val="00A70939"/>
    <w:rsid w:val="00A70A54"/>
    <w:rsid w:val="00A70AE9"/>
    <w:rsid w:val="00A70D64"/>
    <w:rsid w:val="00A70FAC"/>
    <w:rsid w:val="00A712B4"/>
    <w:rsid w:val="00A71B99"/>
    <w:rsid w:val="00A71C29"/>
    <w:rsid w:val="00A72581"/>
    <w:rsid w:val="00A72BC9"/>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5C2"/>
    <w:rsid w:val="00A81C2A"/>
    <w:rsid w:val="00A82112"/>
    <w:rsid w:val="00A832A1"/>
    <w:rsid w:val="00A833AA"/>
    <w:rsid w:val="00A83903"/>
    <w:rsid w:val="00A83E38"/>
    <w:rsid w:val="00A84B27"/>
    <w:rsid w:val="00A85053"/>
    <w:rsid w:val="00A85DC7"/>
    <w:rsid w:val="00A86000"/>
    <w:rsid w:val="00A8712F"/>
    <w:rsid w:val="00A90248"/>
    <w:rsid w:val="00A916C9"/>
    <w:rsid w:val="00A91C62"/>
    <w:rsid w:val="00A92879"/>
    <w:rsid w:val="00A92908"/>
    <w:rsid w:val="00A92C7A"/>
    <w:rsid w:val="00A92D62"/>
    <w:rsid w:val="00A93694"/>
    <w:rsid w:val="00A93A0D"/>
    <w:rsid w:val="00A93DC5"/>
    <w:rsid w:val="00A94311"/>
    <w:rsid w:val="00A9442A"/>
    <w:rsid w:val="00A94666"/>
    <w:rsid w:val="00A94F68"/>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5BF"/>
    <w:rsid w:val="00AA4279"/>
    <w:rsid w:val="00AA5148"/>
    <w:rsid w:val="00AA51D6"/>
    <w:rsid w:val="00AA56E9"/>
    <w:rsid w:val="00AA6170"/>
    <w:rsid w:val="00AA63BA"/>
    <w:rsid w:val="00AA6A03"/>
    <w:rsid w:val="00AA76E8"/>
    <w:rsid w:val="00AA7EA1"/>
    <w:rsid w:val="00AB017F"/>
    <w:rsid w:val="00AB0BC8"/>
    <w:rsid w:val="00AB10DA"/>
    <w:rsid w:val="00AB1157"/>
    <w:rsid w:val="00AB11CA"/>
    <w:rsid w:val="00AB14D9"/>
    <w:rsid w:val="00AB1841"/>
    <w:rsid w:val="00AB2C88"/>
    <w:rsid w:val="00AB3C41"/>
    <w:rsid w:val="00AB42FD"/>
    <w:rsid w:val="00AB4AB8"/>
    <w:rsid w:val="00AB4DE2"/>
    <w:rsid w:val="00AB54D8"/>
    <w:rsid w:val="00AB570F"/>
    <w:rsid w:val="00AB5CFE"/>
    <w:rsid w:val="00AB655E"/>
    <w:rsid w:val="00AC007F"/>
    <w:rsid w:val="00AC0B5B"/>
    <w:rsid w:val="00AC0C28"/>
    <w:rsid w:val="00AC186D"/>
    <w:rsid w:val="00AC1A3D"/>
    <w:rsid w:val="00AC1E2A"/>
    <w:rsid w:val="00AC2296"/>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C48"/>
    <w:rsid w:val="00AD0F52"/>
    <w:rsid w:val="00AD1952"/>
    <w:rsid w:val="00AD1E34"/>
    <w:rsid w:val="00AD22F7"/>
    <w:rsid w:val="00AD2496"/>
    <w:rsid w:val="00AD2B26"/>
    <w:rsid w:val="00AD3069"/>
    <w:rsid w:val="00AD388C"/>
    <w:rsid w:val="00AD3F90"/>
    <w:rsid w:val="00AD3F94"/>
    <w:rsid w:val="00AD4667"/>
    <w:rsid w:val="00AD4A5A"/>
    <w:rsid w:val="00AD5754"/>
    <w:rsid w:val="00AD5C36"/>
    <w:rsid w:val="00AD6192"/>
    <w:rsid w:val="00AD646F"/>
    <w:rsid w:val="00AD679B"/>
    <w:rsid w:val="00AD67FE"/>
    <w:rsid w:val="00AD6CE0"/>
    <w:rsid w:val="00AD746D"/>
    <w:rsid w:val="00AD74B4"/>
    <w:rsid w:val="00AE138B"/>
    <w:rsid w:val="00AE1904"/>
    <w:rsid w:val="00AE1AEC"/>
    <w:rsid w:val="00AE1C83"/>
    <w:rsid w:val="00AE2523"/>
    <w:rsid w:val="00AE27AC"/>
    <w:rsid w:val="00AE27E4"/>
    <w:rsid w:val="00AE2A62"/>
    <w:rsid w:val="00AE2D11"/>
    <w:rsid w:val="00AE2E30"/>
    <w:rsid w:val="00AE3A3C"/>
    <w:rsid w:val="00AE3B98"/>
    <w:rsid w:val="00AE40E0"/>
    <w:rsid w:val="00AE4209"/>
    <w:rsid w:val="00AE45A6"/>
    <w:rsid w:val="00AE4D6C"/>
    <w:rsid w:val="00AE4DBA"/>
    <w:rsid w:val="00AE4F07"/>
    <w:rsid w:val="00AE5313"/>
    <w:rsid w:val="00AE53EE"/>
    <w:rsid w:val="00AE55FA"/>
    <w:rsid w:val="00AE57B1"/>
    <w:rsid w:val="00AE5865"/>
    <w:rsid w:val="00AE5EDF"/>
    <w:rsid w:val="00AE6283"/>
    <w:rsid w:val="00AE66AA"/>
    <w:rsid w:val="00AE6ED0"/>
    <w:rsid w:val="00AE79A3"/>
    <w:rsid w:val="00AE7F5A"/>
    <w:rsid w:val="00AF04AD"/>
    <w:rsid w:val="00AF0BFA"/>
    <w:rsid w:val="00AF13F7"/>
    <w:rsid w:val="00AF1C5D"/>
    <w:rsid w:val="00AF2694"/>
    <w:rsid w:val="00AF3EC3"/>
    <w:rsid w:val="00AF42D7"/>
    <w:rsid w:val="00AF4961"/>
    <w:rsid w:val="00AF4CC0"/>
    <w:rsid w:val="00AF57C1"/>
    <w:rsid w:val="00AF590B"/>
    <w:rsid w:val="00AF5A87"/>
    <w:rsid w:val="00AF5FA6"/>
    <w:rsid w:val="00AF6377"/>
    <w:rsid w:val="00AF6C00"/>
    <w:rsid w:val="00AF6F2F"/>
    <w:rsid w:val="00B006FE"/>
    <w:rsid w:val="00B007CB"/>
    <w:rsid w:val="00B01A6F"/>
    <w:rsid w:val="00B01B96"/>
    <w:rsid w:val="00B01BAF"/>
    <w:rsid w:val="00B01DC9"/>
    <w:rsid w:val="00B01F12"/>
    <w:rsid w:val="00B02144"/>
    <w:rsid w:val="00B02170"/>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794"/>
    <w:rsid w:val="00B07ECB"/>
    <w:rsid w:val="00B07FD3"/>
    <w:rsid w:val="00B108B7"/>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12D"/>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391B"/>
    <w:rsid w:val="00B34C9B"/>
    <w:rsid w:val="00B3541A"/>
    <w:rsid w:val="00B3559D"/>
    <w:rsid w:val="00B35A40"/>
    <w:rsid w:val="00B36236"/>
    <w:rsid w:val="00B369AD"/>
    <w:rsid w:val="00B37066"/>
    <w:rsid w:val="00B372AA"/>
    <w:rsid w:val="00B37D91"/>
    <w:rsid w:val="00B40445"/>
    <w:rsid w:val="00B40C02"/>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58B"/>
    <w:rsid w:val="00B506D0"/>
    <w:rsid w:val="00B51BBD"/>
    <w:rsid w:val="00B521E6"/>
    <w:rsid w:val="00B53227"/>
    <w:rsid w:val="00B53F38"/>
    <w:rsid w:val="00B54B9C"/>
    <w:rsid w:val="00B5592B"/>
    <w:rsid w:val="00B56296"/>
    <w:rsid w:val="00B5681C"/>
    <w:rsid w:val="00B57901"/>
    <w:rsid w:val="00B6033E"/>
    <w:rsid w:val="00B60D56"/>
    <w:rsid w:val="00B612B3"/>
    <w:rsid w:val="00B614DD"/>
    <w:rsid w:val="00B617E6"/>
    <w:rsid w:val="00B6180A"/>
    <w:rsid w:val="00B61FC9"/>
    <w:rsid w:val="00B626FC"/>
    <w:rsid w:val="00B62944"/>
    <w:rsid w:val="00B62A45"/>
    <w:rsid w:val="00B62AAA"/>
    <w:rsid w:val="00B62DC3"/>
    <w:rsid w:val="00B6374A"/>
    <w:rsid w:val="00B63FF9"/>
    <w:rsid w:val="00B64D7A"/>
    <w:rsid w:val="00B64DC1"/>
    <w:rsid w:val="00B64E11"/>
    <w:rsid w:val="00B6560D"/>
    <w:rsid w:val="00B664C7"/>
    <w:rsid w:val="00B668DA"/>
    <w:rsid w:val="00B66A91"/>
    <w:rsid w:val="00B70470"/>
    <w:rsid w:val="00B70BB1"/>
    <w:rsid w:val="00B71B58"/>
    <w:rsid w:val="00B721F7"/>
    <w:rsid w:val="00B72216"/>
    <w:rsid w:val="00B72780"/>
    <w:rsid w:val="00B73946"/>
    <w:rsid w:val="00B739F6"/>
    <w:rsid w:val="00B73F8D"/>
    <w:rsid w:val="00B7455B"/>
    <w:rsid w:val="00B74C28"/>
    <w:rsid w:val="00B75366"/>
    <w:rsid w:val="00B75D3C"/>
    <w:rsid w:val="00B75DBC"/>
    <w:rsid w:val="00B76CF6"/>
    <w:rsid w:val="00B76F43"/>
    <w:rsid w:val="00B77B26"/>
    <w:rsid w:val="00B77E8A"/>
    <w:rsid w:val="00B800F5"/>
    <w:rsid w:val="00B80699"/>
    <w:rsid w:val="00B8086A"/>
    <w:rsid w:val="00B80B49"/>
    <w:rsid w:val="00B8117B"/>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86816"/>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076A"/>
    <w:rsid w:val="00BB1A4F"/>
    <w:rsid w:val="00BB212F"/>
    <w:rsid w:val="00BB21D5"/>
    <w:rsid w:val="00BB229E"/>
    <w:rsid w:val="00BB26FF"/>
    <w:rsid w:val="00BB2A25"/>
    <w:rsid w:val="00BB36D9"/>
    <w:rsid w:val="00BB371F"/>
    <w:rsid w:val="00BB3F23"/>
    <w:rsid w:val="00BB48D4"/>
    <w:rsid w:val="00BB4D7A"/>
    <w:rsid w:val="00BB51E9"/>
    <w:rsid w:val="00BB56BD"/>
    <w:rsid w:val="00BB6240"/>
    <w:rsid w:val="00BB6455"/>
    <w:rsid w:val="00BB7455"/>
    <w:rsid w:val="00BB78D4"/>
    <w:rsid w:val="00BB7D2C"/>
    <w:rsid w:val="00BC0FDC"/>
    <w:rsid w:val="00BC1477"/>
    <w:rsid w:val="00BC164C"/>
    <w:rsid w:val="00BC1809"/>
    <w:rsid w:val="00BC2238"/>
    <w:rsid w:val="00BC2C49"/>
    <w:rsid w:val="00BC3053"/>
    <w:rsid w:val="00BC32E1"/>
    <w:rsid w:val="00BC34D8"/>
    <w:rsid w:val="00BC3DBE"/>
    <w:rsid w:val="00BC3FFB"/>
    <w:rsid w:val="00BC40BE"/>
    <w:rsid w:val="00BC4D2E"/>
    <w:rsid w:val="00BC4F38"/>
    <w:rsid w:val="00BC536F"/>
    <w:rsid w:val="00BC53B4"/>
    <w:rsid w:val="00BC5DE4"/>
    <w:rsid w:val="00BC6079"/>
    <w:rsid w:val="00BC642C"/>
    <w:rsid w:val="00BC6A51"/>
    <w:rsid w:val="00BC6E25"/>
    <w:rsid w:val="00BC757A"/>
    <w:rsid w:val="00BC7B85"/>
    <w:rsid w:val="00BD034D"/>
    <w:rsid w:val="00BD08B5"/>
    <w:rsid w:val="00BD08F6"/>
    <w:rsid w:val="00BD3273"/>
    <w:rsid w:val="00BD3C9F"/>
    <w:rsid w:val="00BD3E77"/>
    <w:rsid w:val="00BD4324"/>
    <w:rsid w:val="00BD46A8"/>
    <w:rsid w:val="00BD4735"/>
    <w:rsid w:val="00BD48AC"/>
    <w:rsid w:val="00BD5146"/>
    <w:rsid w:val="00BD5F1A"/>
    <w:rsid w:val="00BE0A6B"/>
    <w:rsid w:val="00BE1234"/>
    <w:rsid w:val="00BE167D"/>
    <w:rsid w:val="00BE1E0C"/>
    <w:rsid w:val="00BE20F5"/>
    <w:rsid w:val="00BE2FA6"/>
    <w:rsid w:val="00BE30BD"/>
    <w:rsid w:val="00BE31A3"/>
    <w:rsid w:val="00BE333F"/>
    <w:rsid w:val="00BE334F"/>
    <w:rsid w:val="00BE42D4"/>
    <w:rsid w:val="00BE4B0B"/>
    <w:rsid w:val="00BE4F7A"/>
    <w:rsid w:val="00BE5AD2"/>
    <w:rsid w:val="00BE6A44"/>
    <w:rsid w:val="00BE7406"/>
    <w:rsid w:val="00BE741C"/>
    <w:rsid w:val="00BE7603"/>
    <w:rsid w:val="00BE76FC"/>
    <w:rsid w:val="00BE79D8"/>
    <w:rsid w:val="00BE7D1C"/>
    <w:rsid w:val="00BF0310"/>
    <w:rsid w:val="00BF09D2"/>
    <w:rsid w:val="00BF0F60"/>
    <w:rsid w:val="00BF1366"/>
    <w:rsid w:val="00BF14F3"/>
    <w:rsid w:val="00BF15E8"/>
    <w:rsid w:val="00BF1F95"/>
    <w:rsid w:val="00BF23ED"/>
    <w:rsid w:val="00BF261D"/>
    <w:rsid w:val="00BF3279"/>
    <w:rsid w:val="00BF3778"/>
    <w:rsid w:val="00BF3FD8"/>
    <w:rsid w:val="00BF431E"/>
    <w:rsid w:val="00BF47D4"/>
    <w:rsid w:val="00BF536D"/>
    <w:rsid w:val="00BF624A"/>
    <w:rsid w:val="00BF6704"/>
    <w:rsid w:val="00BF6B15"/>
    <w:rsid w:val="00BF6CC8"/>
    <w:rsid w:val="00BF7049"/>
    <w:rsid w:val="00BF73CE"/>
    <w:rsid w:val="00BF7445"/>
    <w:rsid w:val="00BF74C7"/>
    <w:rsid w:val="00C00245"/>
    <w:rsid w:val="00C007C7"/>
    <w:rsid w:val="00C00C72"/>
    <w:rsid w:val="00C00C87"/>
    <w:rsid w:val="00C015F1"/>
    <w:rsid w:val="00C01BD7"/>
    <w:rsid w:val="00C01EC1"/>
    <w:rsid w:val="00C01F33"/>
    <w:rsid w:val="00C02B94"/>
    <w:rsid w:val="00C02CC6"/>
    <w:rsid w:val="00C03268"/>
    <w:rsid w:val="00C040F7"/>
    <w:rsid w:val="00C041B0"/>
    <w:rsid w:val="00C044AB"/>
    <w:rsid w:val="00C04DDF"/>
    <w:rsid w:val="00C05706"/>
    <w:rsid w:val="00C057F4"/>
    <w:rsid w:val="00C058DC"/>
    <w:rsid w:val="00C05B5E"/>
    <w:rsid w:val="00C0718D"/>
    <w:rsid w:val="00C07377"/>
    <w:rsid w:val="00C103C6"/>
    <w:rsid w:val="00C103DD"/>
    <w:rsid w:val="00C10478"/>
    <w:rsid w:val="00C11991"/>
    <w:rsid w:val="00C12107"/>
    <w:rsid w:val="00C128BE"/>
    <w:rsid w:val="00C13452"/>
    <w:rsid w:val="00C134A0"/>
    <w:rsid w:val="00C14115"/>
    <w:rsid w:val="00C148E9"/>
    <w:rsid w:val="00C14B88"/>
    <w:rsid w:val="00C14D4B"/>
    <w:rsid w:val="00C154BB"/>
    <w:rsid w:val="00C1589D"/>
    <w:rsid w:val="00C15B66"/>
    <w:rsid w:val="00C15D75"/>
    <w:rsid w:val="00C1642C"/>
    <w:rsid w:val="00C16B49"/>
    <w:rsid w:val="00C16D25"/>
    <w:rsid w:val="00C16DE5"/>
    <w:rsid w:val="00C171B1"/>
    <w:rsid w:val="00C17D3F"/>
    <w:rsid w:val="00C210BC"/>
    <w:rsid w:val="00C21C9E"/>
    <w:rsid w:val="00C21CC5"/>
    <w:rsid w:val="00C237F8"/>
    <w:rsid w:val="00C23E5C"/>
    <w:rsid w:val="00C2474A"/>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523"/>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6006D"/>
    <w:rsid w:val="00C604A5"/>
    <w:rsid w:val="00C60783"/>
    <w:rsid w:val="00C610E9"/>
    <w:rsid w:val="00C612B9"/>
    <w:rsid w:val="00C6166D"/>
    <w:rsid w:val="00C6167D"/>
    <w:rsid w:val="00C63695"/>
    <w:rsid w:val="00C6418B"/>
    <w:rsid w:val="00C64672"/>
    <w:rsid w:val="00C64B77"/>
    <w:rsid w:val="00C64E8D"/>
    <w:rsid w:val="00C658AB"/>
    <w:rsid w:val="00C6657A"/>
    <w:rsid w:val="00C66CE5"/>
    <w:rsid w:val="00C66ECF"/>
    <w:rsid w:val="00C671C8"/>
    <w:rsid w:val="00C672B6"/>
    <w:rsid w:val="00C67941"/>
    <w:rsid w:val="00C70697"/>
    <w:rsid w:val="00C70F33"/>
    <w:rsid w:val="00C71AC5"/>
    <w:rsid w:val="00C721A3"/>
    <w:rsid w:val="00C723C0"/>
    <w:rsid w:val="00C72954"/>
    <w:rsid w:val="00C72CA7"/>
    <w:rsid w:val="00C72DB6"/>
    <w:rsid w:val="00C72EF4"/>
    <w:rsid w:val="00C73124"/>
    <w:rsid w:val="00C743F0"/>
    <w:rsid w:val="00C74CA0"/>
    <w:rsid w:val="00C75081"/>
    <w:rsid w:val="00C7556E"/>
    <w:rsid w:val="00C75664"/>
    <w:rsid w:val="00C75CE0"/>
    <w:rsid w:val="00C75D2F"/>
    <w:rsid w:val="00C76643"/>
    <w:rsid w:val="00C767BE"/>
    <w:rsid w:val="00C767C3"/>
    <w:rsid w:val="00C76963"/>
    <w:rsid w:val="00C76E3C"/>
    <w:rsid w:val="00C77168"/>
    <w:rsid w:val="00C77480"/>
    <w:rsid w:val="00C77897"/>
    <w:rsid w:val="00C77982"/>
    <w:rsid w:val="00C77B92"/>
    <w:rsid w:val="00C81568"/>
    <w:rsid w:val="00C82528"/>
    <w:rsid w:val="00C82D75"/>
    <w:rsid w:val="00C83487"/>
    <w:rsid w:val="00C83B4D"/>
    <w:rsid w:val="00C8431E"/>
    <w:rsid w:val="00C85182"/>
    <w:rsid w:val="00C858D0"/>
    <w:rsid w:val="00C85CF2"/>
    <w:rsid w:val="00C85F97"/>
    <w:rsid w:val="00C862F5"/>
    <w:rsid w:val="00C86B9F"/>
    <w:rsid w:val="00C87FF7"/>
    <w:rsid w:val="00C9026B"/>
    <w:rsid w:val="00C9027A"/>
    <w:rsid w:val="00C9062C"/>
    <w:rsid w:val="00C9068E"/>
    <w:rsid w:val="00C90A1A"/>
    <w:rsid w:val="00C9149F"/>
    <w:rsid w:val="00C9169C"/>
    <w:rsid w:val="00C91F9B"/>
    <w:rsid w:val="00C92173"/>
    <w:rsid w:val="00C92E27"/>
    <w:rsid w:val="00C9318D"/>
    <w:rsid w:val="00C93278"/>
    <w:rsid w:val="00C9342D"/>
    <w:rsid w:val="00C93C4B"/>
    <w:rsid w:val="00C944AB"/>
    <w:rsid w:val="00C95477"/>
    <w:rsid w:val="00C95B40"/>
    <w:rsid w:val="00C96A5C"/>
    <w:rsid w:val="00C97651"/>
    <w:rsid w:val="00C97A23"/>
    <w:rsid w:val="00C97BF6"/>
    <w:rsid w:val="00CA0210"/>
    <w:rsid w:val="00CA0590"/>
    <w:rsid w:val="00CA0864"/>
    <w:rsid w:val="00CA10CC"/>
    <w:rsid w:val="00CA12D1"/>
    <w:rsid w:val="00CA1D8C"/>
    <w:rsid w:val="00CA1ED8"/>
    <w:rsid w:val="00CA31A3"/>
    <w:rsid w:val="00CA3997"/>
    <w:rsid w:val="00CA3D41"/>
    <w:rsid w:val="00CA40DC"/>
    <w:rsid w:val="00CA5D71"/>
    <w:rsid w:val="00CA63C2"/>
    <w:rsid w:val="00CA7245"/>
    <w:rsid w:val="00CB003B"/>
    <w:rsid w:val="00CB0346"/>
    <w:rsid w:val="00CB0875"/>
    <w:rsid w:val="00CB08B3"/>
    <w:rsid w:val="00CB1153"/>
    <w:rsid w:val="00CB1678"/>
    <w:rsid w:val="00CB19C1"/>
    <w:rsid w:val="00CB1F63"/>
    <w:rsid w:val="00CB33E8"/>
    <w:rsid w:val="00CB3423"/>
    <w:rsid w:val="00CB4BD2"/>
    <w:rsid w:val="00CB4F86"/>
    <w:rsid w:val="00CB532A"/>
    <w:rsid w:val="00CB552C"/>
    <w:rsid w:val="00CB619A"/>
    <w:rsid w:val="00CB65F9"/>
    <w:rsid w:val="00CB6927"/>
    <w:rsid w:val="00CB6DC0"/>
    <w:rsid w:val="00CB6E7B"/>
    <w:rsid w:val="00CB7170"/>
    <w:rsid w:val="00CB76CF"/>
    <w:rsid w:val="00CC0405"/>
    <w:rsid w:val="00CC040E"/>
    <w:rsid w:val="00CC111F"/>
    <w:rsid w:val="00CC134D"/>
    <w:rsid w:val="00CC14CB"/>
    <w:rsid w:val="00CC2011"/>
    <w:rsid w:val="00CC21A3"/>
    <w:rsid w:val="00CC3EA0"/>
    <w:rsid w:val="00CC45AE"/>
    <w:rsid w:val="00CC5005"/>
    <w:rsid w:val="00CC5E23"/>
    <w:rsid w:val="00CC7B45"/>
    <w:rsid w:val="00CC7C09"/>
    <w:rsid w:val="00CD0481"/>
    <w:rsid w:val="00CD1188"/>
    <w:rsid w:val="00CD1FDF"/>
    <w:rsid w:val="00CD2D5A"/>
    <w:rsid w:val="00CD2ED1"/>
    <w:rsid w:val="00CD337B"/>
    <w:rsid w:val="00CD33BC"/>
    <w:rsid w:val="00CD3BAC"/>
    <w:rsid w:val="00CD3D8E"/>
    <w:rsid w:val="00CD3E0E"/>
    <w:rsid w:val="00CD4DFA"/>
    <w:rsid w:val="00CD53DE"/>
    <w:rsid w:val="00CD5F55"/>
    <w:rsid w:val="00CD6152"/>
    <w:rsid w:val="00CD74C2"/>
    <w:rsid w:val="00CE0424"/>
    <w:rsid w:val="00CE2FDB"/>
    <w:rsid w:val="00CE4BBB"/>
    <w:rsid w:val="00CE585C"/>
    <w:rsid w:val="00CE5869"/>
    <w:rsid w:val="00CE6832"/>
    <w:rsid w:val="00CE71B4"/>
    <w:rsid w:val="00CE7561"/>
    <w:rsid w:val="00CE758E"/>
    <w:rsid w:val="00CE7612"/>
    <w:rsid w:val="00CE7799"/>
    <w:rsid w:val="00CF0237"/>
    <w:rsid w:val="00CF02AC"/>
    <w:rsid w:val="00CF0864"/>
    <w:rsid w:val="00CF0EBC"/>
    <w:rsid w:val="00CF1354"/>
    <w:rsid w:val="00CF14CB"/>
    <w:rsid w:val="00CF30C1"/>
    <w:rsid w:val="00CF3960"/>
    <w:rsid w:val="00CF3AF5"/>
    <w:rsid w:val="00CF3B1F"/>
    <w:rsid w:val="00CF3BF6"/>
    <w:rsid w:val="00CF4840"/>
    <w:rsid w:val="00CF4B12"/>
    <w:rsid w:val="00CF5C2E"/>
    <w:rsid w:val="00CF6016"/>
    <w:rsid w:val="00CF625B"/>
    <w:rsid w:val="00CF638D"/>
    <w:rsid w:val="00CF687E"/>
    <w:rsid w:val="00CF6B7A"/>
    <w:rsid w:val="00CF7BB8"/>
    <w:rsid w:val="00CF7D00"/>
    <w:rsid w:val="00CF7F32"/>
    <w:rsid w:val="00D00102"/>
    <w:rsid w:val="00D0031A"/>
    <w:rsid w:val="00D00AE1"/>
    <w:rsid w:val="00D01331"/>
    <w:rsid w:val="00D0214A"/>
    <w:rsid w:val="00D028EF"/>
    <w:rsid w:val="00D02D2B"/>
    <w:rsid w:val="00D02DEC"/>
    <w:rsid w:val="00D0349B"/>
    <w:rsid w:val="00D0381B"/>
    <w:rsid w:val="00D0399A"/>
    <w:rsid w:val="00D03BCC"/>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3AA"/>
    <w:rsid w:val="00D159D4"/>
    <w:rsid w:val="00D17248"/>
    <w:rsid w:val="00D17396"/>
    <w:rsid w:val="00D1742A"/>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05F5"/>
    <w:rsid w:val="00D31468"/>
    <w:rsid w:val="00D31CC1"/>
    <w:rsid w:val="00D31E35"/>
    <w:rsid w:val="00D31FFB"/>
    <w:rsid w:val="00D32022"/>
    <w:rsid w:val="00D325EA"/>
    <w:rsid w:val="00D3346D"/>
    <w:rsid w:val="00D334CA"/>
    <w:rsid w:val="00D3371B"/>
    <w:rsid w:val="00D353AF"/>
    <w:rsid w:val="00D35643"/>
    <w:rsid w:val="00D35793"/>
    <w:rsid w:val="00D35B02"/>
    <w:rsid w:val="00D362D5"/>
    <w:rsid w:val="00D36983"/>
    <w:rsid w:val="00D36E71"/>
    <w:rsid w:val="00D3711B"/>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4B1"/>
    <w:rsid w:val="00D576CA"/>
    <w:rsid w:val="00D5791D"/>
    <w:rsid w:val="00D60E13"/>
    <w:rsid w:val="00D60ED7"/>
    <w:rsid w:val="00D61AF5"/>
    <w:rsid w:val="00D62054"/>
    <w:rsid w:val="00D625AB"/>
    <w:rsid w:val="00D62CD5"/>
    <w:rsid w:val="00D63B10"/>
    <w:rsid w:val="00D64101"/>
    <w:rsid w:val="00D6435F"/>
    <w:rsid w:val="00D64BBB"/>
    <w:rsid w:val="00D64E41"/>
    <w:rsid w:val="00D652B5"/>
    <w:rsid w:val="00D657D5"/>
    <w:rsid w:val="00D65C42"/>
    <w:rsid w:val="00D65E6C"/>
    <w:rsid w:val="00D65F39"/>
    <w:rsid w:val="00D65F48"/>
    <w:rsid w:val="00D66155"/>
    <w:rsid w:val="00D6685A"/>
    <w:rsid w:val="00D66A33"/>
    <w:rsid w:val="00D671DA"/>
    <w:rsid w:val="00D679DC"/>
    <w:rsid w:val="00D708B0"/>
    <w:rsid w:val="00D70B19"/>
    <w:rsid w:val="00D70E73"/>
    <w:rsid w:val="00D7135D"/>
    <w:rsid w:val="00D728FE"/>
    <w:rsid w:val="00D72DC4"/>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15E"/>
    <w:rsid w:val="00D90E74"/>
    <w:rsid w:val="00D91055"/>
    <w:rsid w:val="00D9196D"/>
    <w:rsid w:val="00D91C92"/>
    <w:rsid w:val="00D91D32"/>
    <w:rsid w:val="00D91F65"/>
    <w:rsid w:val="00D92982"/>
    <w:rsid w:val="00D935C6"/>
    <w:rsid w:val="00D93AAE"/>
    <w:rsid w:val="00D94EA3"/>
    <w:rsid w:val="00D95549"/>
    <w:rsid w:val="00D963DA"/>
    <w:rsid w:val="00D977AA"/>
    <w:rsid w:val="00DA01B6"/>
    <w:rsid w:val="00DA1349"/>
    <w:rsid w:val="00DA1498"/>
    <w:rsid w:val="00DA1AC3"/>
    <w:rsid w:val="00DA2F6C"/>
    <w:rsid w:val="00DA305E"/>
    <w:rsid w:val="00DA45A0"/>
    <w:rsid w:val="00DA45FB"/>
    <w:rsid w:val="00DA463E"/>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377D"/>
    <w:rsid w:val="00DB37A7"/>
    <w:rsid w:val="00DB40FB"/>
    <w:rsid w:val="00DB5719"/>
    <w:rsid w:val="00DB6768"/>
    <w:rsid w:val="00DB6E98"/>
    <w:rsid w:val="00DB72C9"/>
    <w:rsid w:val="00DC0E5D"/>
    <w:rsid w:val="00DC1887"/>
    <w:rsid w:val="00DC25CF"/>
    <w:rsid w:val="00DC28F0"/>
    <w:rsid w:val="00DC2D36"/>
    <w:rsid w:val="00DC3740"/>
    <w:rsid w:val="00DC376E"/>
    <w:rsid w:val="00DC37B1"/>
    <w:rsid w:val="00DC3F66"/>
    <w:rsid w:val="00DC4646"/>
    <w:rsid w:val="00DC478F"/>
    <w:rsid w:val="00DC4F17"/>
    <w:rsid w:val="00DC53EF"/>
    <w:rsid w:val="00DC64B9"/>
    <w:rsid w:val="00DD0E49"/>
    <w:rsid w:val="00DD1B55"/>
    <w:rsid w:val="00DD1D27"/>
    <w:rsid w:val="00DD1EEE"/>
    <w:rsid w:val="00DD207B"/>
    <w:rsid w:val="00DD25DB"/>
    <w:rsid w:val="00DD2697"/>
    <w:rsid w:val="00DD42EC"/>
    <w:rsid w:val="00DD43DE"/>
    <w:rsid w:val="00DD4AB5"/>
    <w:rsid w:val="00DD4FD7"/>
    <w:rsid w:val="00DD5447"/>
    <w:rsid w:val="00DD5931"/>
    <w:rsid w:val="00DD6FC6"/>
    <w:rsid w:val="00DD740E"/>
    <w:rsid w:val="00DD7789"/>
    <w:rsid w:val="00DE0491"/>
    <w:rsid w:val="00DE0FDD"/>
    <w:rsid w:val="00DE0FE2"/>
    <w:rsid w:val="00DE24E3"/>
    <w:rsid w:val="00DE27EC"/>
    <w:rsid w:val="00DE2D93"/>
    <w:rsid w:val="00DE4E2C"/>
    <w:rsid w:val="00DE5608"/>
    <w:rsid w:val="00DE58D0"/>
    <w:rsid w:val="00DE5F95"/>
    <w:rsid w:val="00DE605D"/>
    <w:rsid w:val="00DE654F"/>
    <w:rsid w:val="00DE67D7"/>
    <w:rsid w:val="00DE6DB5"/>
    <w:rsid w:val="00DE6F9C"/>
    <w:rsid w:val="00DE73AB"/>
    <w:rsid w:val="00DE769D"/>
    <w:rsid w:val="00DE7A43"/>
    <w:rsid w:val="00DF02B2"/>
    <w:rsid w:val="00DF0B6E"/>
    <w:rsid w:val="00DF15E0"/>
    <w:rsid w:val="00DF1C34"/>
    <w:rsid w:val="00DF24DD"/>
    <w:rsid w:val="00DF306A"/>
    <w:rsid w:val="00DF37A0"/>
    <w:rsid w:val="00DF3CD5"/>
    <w:rsid w:val="00DF472D"/>
    <w:rsid w:val="00DF5470"/>
    <w:rsid w:val="00DF5C56"/>
    <w:rsid w:val="00DF61AD"/>
    <w:rsid w:val="00DF6439"/>
    <w:rsid w:val="00DF66DE"/>
    <w:rsid w:val="00DF6BC9"/>
    <w:rsid w:val="00DF6DD9"/>
    <w:rsid w:val="00DF7938"/>
    <w:rsid w:val="00E002D7"/>
    <w:rsid w:val="00E007B2"/>
    <w:rsid w:val="00E00D29"/>
    <w:rsid w:val="00E00FE7"/>
    <w:rsid w:val="00E01746"/>
    <w:rsid w:val="00E01957"/>
    <w:rsid w:val="00E01E5E"/>
    <w:rsid w:val="00E0219D"/>
    <w:rsid w:val="00E0253C"/>
    <w:rsid w:val="00E030FE"/>
    <w:rsid w:val="00E043F2"/>
    <w:rsid w:val="00E04859"/>
    <w:rsid w:val="00E054BD"/>
    <w:rsid w:val="00E054D1"/>
    <w:rsid w:val="00E0586A"/>
    <w:rsid w:val="00E05CDC"/>
    <w:rsid w:val="00E05DED"/>
    <w:rsid w:val="00E05EBD"/>
    <w:rsid w:val="00E07312"/>
    <w:rsid w:val="00E073F6"/>
    <w:rsid w:val="00E07A20"/>
    <w:rsid w:val="00E10C3B"/>
    <w:rsid w:val="00E110E7"/>
    <w:rsid w:val="00E119ED"/>
    <w:rsid w:val="00E119F4"/>
    <w:rsid w:val="00E11B20"/>
    <w:rsid w:val="00E1257F"/>
    <w:rsid w:val="00E12837"/>
    <w:rsid w:val="00E138EA"/>
    <w:rsid w:val="00E13983"/>
    <w:rsid w:val="00E1485E"/>
    <w:rsid w:val="00E1490F"/>
    <w:rsid w:val="00E14DEC"/>
    <w:rsid w:val="00E152F9"/>
    <w:rsid w:val="00E1577B"/>
    <w:rsid w:val="00E16446"/>
    <w:rsid w:val="00E1681F"/>
    <w:rsid w:val="00E16915"/>
    <w:rsid w:val="00E17182"/>
    <w:rsid w:val="00E17545"/>
    <w:rsid w:val="00E178A3"/>
    <w:rsid w:val="00E17FA2"/>
    <w:rsid w:val="00E20983"/>
    <w:rsid w:val="00E20CED"/>
    <w:rsid w:val="00E222A7"/>
    <w:rsid w:val="00E22330"/>
    <w:rsid w:val="00E22A6B"/>
    <w:rsid w:val="00E24235"/>
    <w:rsid w:val="00E25089"/>
    <w:rsid w:val="00E25437"/>
    <w:rsid w:val="00E25757"/>
    <w:rsid w:val="00E2601C"/>
    <w:rsid w:val="00E2609B"/>
    <w:rsid w:val="00E261B5"/>
    <w:rsid w:val="00E2667F"/>
    <w:rsid w:val="00E26F39"/>
    <w:rsid w:val="00E271B8"/>
    <w:rsid w:val="00E273E2"/>
    <w:rsid w:val="00E27B8D"/>
    <w:rsid w:val="00E27CEC"/>
    <w:rsid w:val="00E27EA5"/>
    <w:rsid w:val="00E30000"/>
    <w:rsid w:val="00E3010F"/>
    <w:rsid w:val="00E309D2"/>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2B"/>
    <w:rsid w:val="00E36F4F"/>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8F"/>
    <w:rsid w:val="00E42B0C"/>
    <w:rsid w:val="00E43359"/>
    <w:rsid w:val="00E446F1"/>
    <w:rsid w:val="00E46091"/>
    <w:rsid w:val="00E461C4"/>
    <w:rsid w:val="00E4645F"/>
    <w:rsid w:val="00E46886"/>
    <w:rsid w:val="00E46B1B"/>
    <w:rsid w:val="00E46B81"/>
    <w:rsid w:val="00E4773F"/>
    <w:rsid w:val="00E47AEF"/>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66F3"/>
    <w:rsid w:val="00E56E90"/>
    <w:rsid w:val="00E57565"/>
    <w:rsid w:val="00E57E64"/>
    <w:rsid w:val="00E60616"/>
    <w:rsid w:val="00E60CF1"/>
    <w:rsid w:val="00E61073"/>
    <w:rsid w:val="00E61FED"/>
    <w:rsid w:val="00E625EE"/>
    <w:rsid w:val="00E6282E"/>
    <w:rsid w:val="00E62A38"/>
    <w:rsid w:val="00E62C10"/>
    <w:rsid w:val="00E62C11"/>
    <w:rsid w:val="00E62F1F"/>
    <w:rsid w:val="00E62F35"/>
    <w:rsid w:val="00E62FF0"/>
    <w:rsid w:val="00E6357D"/>
    <w:rsid w:val="00E636ED"/>
    <w:rsid w:val="00E63838"/>
    <w:rsid w:val="00E63B15"/>
    <w:rsid w:val="00E6425B"/>
    <w:rsid w:val="00E64434"/>
    <w:rsid w:val="00E64446"/>
    <w:rsid w:val="00E64570"/>
    <w:rsid w:val="00E653E0"/>
    <w:rsid w:val="00E65A64"/>
    <w:rsid w:val="00E66A19"/>
    <w:rsid w:val="00E67C51"/>
    <w:rsid w:val="00E70CF1"/>
    <w:rsid w:val="00E7120F"/>
    <w:rsid w:val="00E71DF6"/>
    <w:rsid w:val="00E72A28"/>
    <w:rsid w:val="00E72B2A"/>
    <w:rsid w:val="00E72EFC"/>
    <w:rsid w:val="00E733C0"/>
    <w:rsid w:val="00E74C7B"/>
    <w:rsid w:val="00E75392"/>
    <w:rsid w:val="00E755B2"/>
    <w:rsid w:val="00E758EC"/>
    <w:rsid w:val="00E76259"/>
    <w:rsid w:val="00E76583"/>
    <w:rsid w:val="00E774DB"/>
    <w:rsid w:val="00E77DE5"/>
    <w:rsid w:val="00E8007A"/>
    <w:rsid w:val="00E821D6"/>
    <w:rsid w:val="00E8233A"/>
    <w:rsid w:val="00E8234C"/>
    <w:rsid w:val="00E8248E"/>
    <w:rsid w:val="00E82F93"/>
    <w:rsid w:val="00E8385E"/>
    <w:rsid w:val="00E83AA9"/>
    <w:rsid w:val="00E84AC6"/>
    <w:rsid w:val="00E84BC1"/>
    <w:rsid w:val="00E85928"/>
    <w:rsid w:val="00E860AE"/>
    <w:rsid w:val="00E862C2"/>
    <w:rsid w:val="00E86720"/>
    <w:rsid w:val="00E868C7"/>
    <w:rsid w:val="00E87221"/>
    <w:rsid w:val="00E877B5"/>
    <w:rsid w:val="00E87822"/>
    <w:rsid w:val="00E902CE"/>
    <w:rsid w:val="00E90395"/>
    <w:rsid w:val="00E90783"/>
    <w:rsid w:val="00E90E49"/>
    <w:rsid w:val="00E91411"/>
    <w:rsid w:val="00E916DA"/>
    <w:rsid w:val="00E917F9"/>
    <w:rsid w:val="00E91E88"/>
    <w:rsid w:val="00E9291C"/>
    <w:rsid w:val="00E92DCB"/>
    <w:rsid w:val="00E93FFE"/>
    <w:rsid w:val="00E94A4B"/>
    <w:rsid w:val="00E94F8A"/>
    <w:rsid w:val="00E96A90"/>
    <w:rsid w:val="00E96F47"/>
    <w:rsid w:val="00E97406"/>
    <w:rsid w:val="00E97845"/>
    <w:rsid w:val="00E97A81"/>
    <w:rsid w:val="00E97C5B"/>
    <w:rsid w:val="00EA0A93"/>
    <w:rsid w:val="00EA145C"/>
    <w:rsid w:val="00EA172E"/>
    <w:rsid w:val="00EA1940"/>
    <w:rsid w:val="00EA33B1"/>
    <w:rsid w:val="00EA383B"/>
    <w:rsid w:val="00EA478C"/>
    <w:rsid w:val="00EA4B49"/>
    <w:rsid w:val="00EA61C3"/>
    <w:rsid w:val="00EA62C3"/>
    <w:rsid w:val="00EA6AC5"/>
    <w:rsid w:val="00EA6AE5"/>
    <w:rsid w:val="00EA7A41"/>
    <w:rsid w:val="00EA7D81"/>
    <w:rsid w:val="00EB05A0"/>
    <w:rsid w:val="00EB077B"/>
    <w:rsid w:val="00EB15F6"/>
    <w:rsid w:val="00EB2129"/>
    <w:rsid w:val="00EB2190"/>
    <w:rsid w:val="00EB3308"/>
    <w:rsid w:val="00EB38BB"/>
    <w:rsid w:val="00EB3CCA"/>
    <w:rsid w:val="00EB40A6"/>
    <w:rsid w:val="00EB46CC"/>
    <w:rsid w:val="00EB4EA2"/>
    <w:rsid w:val="00EB53CA"/>
    <w:rsid w:val="00EB54ED"/>
    <w:rsid w:val="00EB5636"/>
    <w:rsid w:val="00EB5B16"/>
    <w:rsid w:val="00EB6346"/>
    <w:rsid w:val="00EB7AC8"/>
    <w:rsid w:val="00EB7F26"/>
    <w:rsid w:val="00EC1933"/>
    <w:rsid w:val="00EC27C6"/>
    <w:rsid w:val="00EC353C"/>
    <w:rsid w:val="00EC3599"/>
    <w:rsid w:val="00EC4207"/>
    <w:rsid w:val="00EC5653"/>
    <w:rsid w:val="00EC5D1F"/>
    <w:rsid w:val="00EC5FF3"/>
    <w:rsid w:val="00EC60B5"/>
    <w:rsid w:val="00EC69C9"/>
    <w:rsid w:val="00EC6A49"/>
    <w:rsid w:val="00EC6AD1"/>
    <w:rsid w:val="00EC6B68"/>
    <w:rsid w:val="00EC6D76"/>
    <w:rsid w:val="00EC71CE"/>
    <w:rsid w:val="00EC75DD"/>
    <w:rsid w:val="00EC766B"/>
    <w:rsid w:val="00EC79BB"/>
    <w:rsid w:val="00ED0C47"/>
    <w:rsid w:val="00ED1006"/>
    <w:rsid w:val="00ED1AA4"/>
    <w:rsid w:val="00ED1DD3"/>
    <w:rsid w:val="00ED279B"/>
    <w:rsid w:val="00ED29F7"/>
    <w:rsid w:val="00ED371B"/>
    <w:rsid w:val="00ED3F0F"/>
    <w:rsid w:val="00ED4F54"/>
    <w:rsid w:val="00ED4F9D"/>
    <w:rsid w:val="00ED5CAF"/>
    <w:rsid w:val="00ED6396"/>
    <w:rsid w:val="00ED6433"/>
    <w:rsid w:val="00ED67EE"/>
    <w:rsid w:val="00ED79F6"/>
    <w:rsid w:val="00EE0A8F"/>
    <w:rsid w:val="00EE1309"/>
    <w:rsid w:val="00EE1E64"/>
    <w:rsid w:val="00EE1E92"/>
    <w:rsid w:val="00EE1EE2"/>
    <w:rsid w:val="00EE267E"/>
    <w:rsid w:val="00EE34A9"/>
    <w:rsid w:val="00EE392C"/>
    <w:rsid w:val="00EE4026"/>
    <w:rsid w:val="00EE49D4"/>
    <w:rsid w:val="00EE4B5E"/>
    <w:rsid w:val="00EE4B8A"/>
    <w:rsid w:val="00EE4DF7"/>
    <w:rsid w:val="00EE4E1C"/>
    <w:rsid w:val="00EE7F85"/>
    <w:rsid w:val="00EF08AA"/>
    <w:rsid w:val="00EF18FE"/>
    <w:rsid w:val="00EF3A7A"/>
    <w:rsid w:val="00EF4BB5"/>
    <w:rsid w:val="00EF4DCB"/>
    <w:rsid w:val="00EF5787"/>
    <w:rsid w:val="00EF58ED"/>
    <w:rsid w:val="00EF60D0"/>
    <w:rsid w:val="00EF682C"/>
    <w:rsid w:val="00EF7479"/>
    <w:rsid w:val="00EF7711"/>
    <w:rsid w:val="00EF78A7"/>
    <w:rsid w:val="00EF795A"/>
    <w:rsid w:val="00F01BDF"/>
    <w:rsid w:val="00F02009"/>
    <w:rsid w:val="00F02895"/>
    <w:rsid w:val="00F039A4"/>
    <w:rsid w:val="00F04533"/>
    <w:rsid w:val="00F04ACB"/>
    <w:rsid w:val="00F0528D"/>
    <w:rsid w:val="00F058A3"/>
    <w:rsid w:val="00F05DD5"/>
    <w:rsid w:val="00F06522"/>
    <w:rsid w:val="00F06C67"/>
    <w:rsid w:val="00F06DFD"/>
    <w:rsid w:val="00F071D1"/>
    <w:rsid w:val="00F07406"/>
    <w:rsid w:val="00F07533"/>
    <w:rsid w:val="00F105B0"/>
    <w:rsid w:val="00F10629"/>
    <w:rsid w:val="00F10BD5"/>
    <w:rsid w:val="00F11290"/>
    <w:rsid w:val="00F120AE"/>
    <w:rsid w:val="00F12539"/>
    <w:rsid w:val="00F12BD7"/>
    <w:rsid w:val="00F13B91"/>
    <w:rsid w:val="00F13D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17C73"/>
    <w:rsid w:val="00F209B7"/>
    <w:rsid w:val="00F215B2"/>
    <w:rsid w:val="00F219FA"/>
    <w:rsid w:val="00F22389"/>
    <w:rsid w:val="00F229A4"/>
    <w:rsid w:val="00F23500"/>
    <w:rsid w:val="00F2376F"/>
    <w:rsid w:val="00F2398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A3E"/>
    <w:rsid w:val="00F324D9"/>
    <w:rsid w:val="00F329AC"/>
    <w:rsid w:val="00F33185"/>
    <w:rsid w:val="00F338DB"/>
    <w:rsid w:val="00F33AB4"/>
    <w:rsid w:val="00F33C92"/>
    <w:rsid w:val="00F33D51"/>
    <w:rsid w:val="00F33F93"/>
    <w:rsid w:val="00F34438"/>
    <w:rsid w:val="00F35783"/>
    <w:rsid w:val="00F35FE9"/>
    <w:rsid w:val="00F37AE8"/>
    <w:rsid w:val="00F37B0F"/>
    <w:rsid w:val="00F37F46"/>
    <w:rsid w:val="00F40997"/>
    <w:rsid w:val="00F40ABA"/>
    <w:rsid w:val="00F40F0C"/>
    <w:rsid w:val="00F41518"/>
    <w:rsid w:val="00F41BC1"/>
    <w:rsid w:val="00F41E63"/>
    <w:rsid w:val="00F42123"/>
    <w:rsid w:val="00F429C3"/>
    <w:rsid w:val="00F4364C"/>
    <w:rsid w:val="00F44955"/>
    <w:rsid w:val="00F452A8"/>
    <w:rsid w:val="00F45ED4"/>
    <w:rsid w:val="00F461B1"/>
    <w:rsid w:val="00F47596"/>
    <w:rsid w:val="00F4766C"/>
    <w:rsid w:val="00F47DD5"/>
    <w:rsid w:val="00F507D1"/>
    <w:rsid w:val="00F5098D"/>
    <w:rsid w:val="00F51175"/>
    <w:rsid w:val="00F516EF"/>
    <w:rsid w:val="00F519CE"/>
    <w:rsid w:val="00F51ADA"/>
    <w:rsid w:val="00F51BCF"/>
    <w:rsid w:val="00F51EC2"/>
    <w:rsid w:val="00F525AD"/>
    <w:rsid w:val="00F52DC4"/>
    <w:rsid w:val="00F53AF3"/>
    <w:rsid w:val="00F53F6A"/>
    <w:rsid w:val="00F54D55"/>
    <w:rsid w:val="00F557A9"/>
    <w:rsid w:val="00F5591F"/>
    <w:rsid w:val="00F55EFB"/>
    <w:rsid w:val="00F5625A"/>
    <w:rsid w:val="00F56B53"/>
    <w:rsid w:val="00F57120"/>
    <w:rsid w:val="00F57425"/>
    <w:rsid w:val="00F57AC3"/>
    <w:rsid w:val="00F607C5"/>
    <w:rsid w:val="00F609E2"/>
    <w:rsid w:val="00F60DEA"/>
    <w:rsid w:val="00F62254"/>
    <w:rsid w:val="00F62324"/>
    <w:rsid w:val="00F62537"/>
    <w:rsid w:val="00F629F3"/>
    <w:rsid w:val="00F6302A"/>
    <w:rsid w:val="00F63199"/>
    <w:rsid w:val="00F63267"/>
    <w:rsid w:val="00F634B4"/>
    <w:rsid w:val="00F640F6"/>
    <w:rsid w:val="00F64C2B"/>
    <w:rsid w:val="00F65080"/>
    <w:rsid w:val="00F651BE"/>
    <w:rsid w:val="00F65322"/>
    <w:rsid w:val="00F65586"/>
    <w:rsid w:val="00F65718"/>
    <w:rsid w:val="00F65BB0"/>
    <w:rsid w:val="00F66F87"/>
    <w:rsid w:val="00F6703D"/>
    <w:rsid w:val="00F67619"/>
    <w:rsid w:val="00F67748"/>
    <w:rsid w:val="00F67D30"/>
    <w:rsid w:val="00F67E02"/>
    <w:rsid w:val="00F67F53"/>
    <w:rsid w:val="00F70072"/>
    <w:rsid w:val="00F7020E"/>
    <w:rsid w:val="00F703BE"/>
    <w:rsid w:val="00F70F3C"/>
    <w:rsid w:val="00F71F69"/>
    <w:rsid w:val="00F72052"/>
    <w:rsid w:val="00F72322"/>
    <w:rsid w:val="00F72B72"/>
    <w:rsid w:val="00F73345"/>
    <w:rsid w:val="00F73A00"/>
    <w:rsid w:val="00F73BA5"/>
    <w:rsid w:val="00F73C95"/>
    <w:rsid w:val="00F7498D"/>
    <w:rsid w:val="00F74BB9"/>
    <w:rsid w:val="00F754D7"/>
    <w:rsid w:val="00F75582"/>
    <w:rsid w:val="00F7565A"/>
    <w:rsid w:val="00F75A7F"/>
    <w:rsid w:val="00F75BD8"/>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FCD"/>
    <w:rsid w:val="00FB342B"/>
    <w:rsid w:val="00FB455B"/>
    <w:rsid w:val="00FB46B7"/>
    <w:rsid w:val="00FB4C80"/>
    <w:rsid w:val="00FB5540"/>
    <w:rsid w:val="00FB5657"/>
    <w:rsid w:val="00FB57CC"/>
    <w:rsid w:val="00FB624B"/>
    <w:rsid w:val="00FB6327"/>
    <w:rsid w:val="00FB65DA"/>
    <w:rsid w:val="00FB69CA"/>
    <w:rsid w:val="00FB6A6A"/>
    <w:rsid w:val="00FB6E66"/>
    <w:rsid w:val="00FB6F61"/>
    <w:rsid w:val="00FB773D"/>
    <w:rsid w:val="00FC05EC"/>
    <w:rsid w:val="00FC0873"/>
    <w:rsid w:val="00FC129A"/>
    <w:rsid w:val="00FC160B"/>
    <w:rsid w:val="00FC183A"/>
    <w:rsid w:val="00FC29F5"/>
    <w:rsid w:val="00FC35B7"/>
    <w:rsid w:val="00FC3CD5"/>
    <w:rsid w:val="00FC3FCB"/>
    <w:rsid w:val="00FC4AD0"/>
    <w:rsid w:val="00FC5B9C"/>
    <w:rsid w:val="00FC6483"/>
    <w:rsid w:val="00FC6640"/>
    <w:rsid w:val="00FC6982"/>
    <w:rsid w:val="00FC6C06"/>
    <w:rsid w:val="00FC7313"/>
    <w:rsid w:val="00FC7429"/>
    <w:rsid w:val="00FC74AF"/>
    <w:rsid w:val="00FC7B90"/>
    <w:rsid w:val="00FD008D"/>
    <w:rsid w:val="00FD055A"/>
    <w:rsid w:val="00FD075F"/>
    <w:rsid w:val="00FD07F6"/>
    <w:rsid w:val="00FD0F96"/>
    <w:rsid w:val="00FD1479"/>
    <w:rsid w:val="00FD192C"/>
    <w:rsid w:val="00FD1963"/>
    <w:rsid w:val="00FD1A4C"/>
    <w:rsid w:val="00FD1EC8"/>
    <w:rsid w:val="00FD2562"/>
    <w:rsid w:val="00FD328A"/>
    <w:rsid w:val="00FD3445"/>
    <w:rsid w:val="00FD37F6"/>
    <w:rsid w:val="00FD3FB3"/>
    <w:rsid w:val="00FD47A3"/>
    <w:rsid w:val="00FD47ED"/>
    <w:rsid w:val="00FD5F15"/>
    <w:rsid w:val="00FD6650"/>
    <w:rsid w:val="00FD6F04"/>
    <w:rsid w:val="00FD74DB"/>
    <w:rsid w:val="00FD7660"/>
    <w:rsid w:val="00FD79D2"/>
    <w:rsid w:val="00FE02C9"/>
    <w:rsid w:val="00FE0655"/>
    <w:rsid w:val="00FE17E2"/>
    <w:rsid w:val="00FE1E40"/>
    <w:rsid w:val="00FE20E2"/>
    <w:rsid w:val="00FE2365"/>
    <w:rsid w:val="00FE26A4"/>
    <w:rsid w:val="00FE3942"/>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45A5"/>
    <w:rsid w:val="00FF49A7"/>
    <w:rsid w:val="00FF5C91"/>
    <w:rsid w:val="00FF606A"/>
    <w:rsid w:val="00FF62AE"/>
    <w:rsid w:val="00FF6AB8"/>
    <w:rsid w:val="00FF6E8B"/>
    <w:rsid w:val="0359D099"/>
    <w:rsid w:val="044FCEBB"/>
    <w:rsid w:val="0496F0B9"/>
    <w:rsid w:val="0607814E"/>
    <w:rsid w:val="06D8B70F"/>
    <w:rsid w:val="073AF6B5"/>
    <w:rsid w:val="07876F7D"/>
    <w:rsid w:val="09439610"/>
    <w:rsid w:val="0A21EB72"/>
    <w:rsid w:val="0FA0C7DC"/>
    <w:rsid w:val="11FEF9AE"/>
    <w:rsid w:val="120C6BF9"/>
    <w:rsid w:val="130897E6"/>
    <w:rsid w:val="13BDE517"/>
    <w:rsid w:val="1A1165EB"/>
    <w:rsid w:val="1A2440A0"/>
    <w:rsid w:val="1EF1F735"/>
    <w:rsid w:val="209C681F"/>
    <w:rsid w:val="210E95FE"/>
    <w:rsid w:val="23E67CDA"/>
    <w:rsid w:val="24CB478D"/>
    <w:rsid w:val="261E4E13"/>
    <w:rsid w:val="28EA70FE"/>
    <w:rsid w:val="2952BF43"/>
    <w:rsid w:val="295A2ECD"/>
    <w:rsid w:val="2995EABA"/>
    <w:rsid w:val="2A2A2208"/>
    <w:rsid w:val="2CA3E6FE"/>
    <w:rsid w:val="2F17631C"/>
    <w:rsid w:val="3045607F"/>
    <w:rsid w:val="330BD6E3"/>
    <w:rsid w:val="348FB4FB"/>
    <w:rsid w:val="3648F031"/>
    <w:rsid w:val="3894BB86"/>
    <w:rsid w:val="38AC62F7"/>
    <w:rsid w:val="38E0E85D"/>
    <w:rsid w:val="3A4AED2D"/>
    <w:rsid w:val="3AF7E4AF"/>
    <w:rsid w:val="3B4D3A92"/>
    <w:rsid w:val="3E3288E3"/>
    <w:rsid w:val="4076DEA3"/>
    <w:rsid w:val="435682AA"/>
    <w:rsid w:val="44D26AB2"/>
    <w:rsid w:val="45FD0716"/>
    <w:rsid w:val="471047D8"/>
    <w:rsid w:val="47A652A0"/>
    <w:rsid w:val="49E44355"/>
    <w:rsid w:val="4A243A03"/>
    <w:rsid w:val="4AA4D8F6"/>
    <w:rsid w:val="4B16A57A"/>
    <w:rsid w:val="4BD25E9D"/>
    <w:rsid w:val="4BDB776C"/>
    <w:rsid w:val="4C24C725"/>
    <w:rsid w:val="4F5C67E7"/>
    <w:rsid w:val="50269420"/>
    <w:rsid w:val="50B72A1E"/>
    <w:rsid w:val="50CFB5E6"/>
    <w:rsid w:val="516FA8A0"/>
    <w:rsid w:val="51CE5AC6"/>
    <w:rsid w:val="54DFD3FE"/>
    <w:rsid w:val="557CFF89"/>
    <w:rsid w:val="57957978"/>
    <w:rsid w:val="58456E61"/>
    <w:rsid w:val="58CA2989"/>
    <w:rsid w:val="59A39314"/>
    <w:rsid w:val="5D9D9AAC"/>
    <w:rsid w:val="5F97A740"/>
    <w:rsid w:val="600E24A0"/>
    <w:rsid w:val="67D1ACCF"/>
    <w:rsid w:val="67ED085C"/>
    <w:rsid w:val="68244409"/>
    <w:rsid w:val="685CFE84"/>
    <w:rsid w:val="685F9634"/>
    <w:rsid w:val="6C2F6603"/>
    <w:rsid w:val="6CCAFB48"/>
    <w:rsid w:val="6DBD1123"/>
    <w:rsid w:val="6DC3FCD2"/>
    <w:rsid w:val="6EA78169"/>
    <w:rsid w:val="71EB1E0F"/>
    <w:rsid w:val="74F170D1"/>
    <w:rsid w:val="751E89E2"/>
    <w:rsid w:val="778288F5"/>
    <w:rsid w:val="78D20E92"/>
    <w:rsid w:val="799055F3"/>
    <w:rsid w:val="7A414D06"/>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48B9B"/>
  <w15:docId w15:val="{61D69DD9-FA89-4BA2-9F5C-6E94FB91D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52396851">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5AIRPNAIUNRU-1156379521-3257</_dlc_DocId>
    <_dlc_DocIdUrl xmlns="71c5aaf6-e6ce-465b-b873-5148d2a4c105">
      <Url>https://nokia.sharepoint.com/sites/c5g/e2earch/_layouts/15/DocIdRedir.aspx?ID=5AIRPNAIUNRU-1156379521-3257</Url>
      <Description>5AIRPNAIUNRU-1156379521-3257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purl.org/dc/elements/1.1/"/>
    <ds:schemaRef ds:uri="b1e1cf1a-759b-4612-9ceb-2888e9efb08a"/>
    <ds:schemaRef ds:uri="3b34c8f0-1ef5-4d1e-bb66-517ce7fe7356"/>
    <ds:schemaRef ds:uri="http://www.w3.org/XML/1998/namespace"/>
  </ds:schemaRefs>
</ds:datastoreItem>
</file>

<file path=customXml/itemProps5.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6.xml><?xml version="1.0" encoding="utf-8"?>
<ds:datastoreItem xmlns:ds="http://schemas.openxmlformats.org/officeDocument/2006/customXml" ds:itemID="{9D1E63F4-2F45-49C2-A6F9-679D6B875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46</TotalTime>
  <Pages>9</Pages>
  <Words>3077</Words>
  <Characters>15516</Characters>
  <Application>Microsoft Office Word</Application>
  <DocSecurity>0</DocSecurity>
  <Lines>129</Lines>
  <Paragraphs>37</Paragraphs>
  <ScaleCrop>false</ScaleCrop>
  <Company>Ericsson</Company>
  <LinksUpToDate>false</LinksUpToDate>
  <CharactersWithSpaces>18556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Steven Xu</cp:lastModifiedBy>
  <cp:revision>330</cp:revision>
  <cp:lastPrinted>2021-10-21T20:07:00Z</cp:lastPrinted>
  <dcterms:created xsi:type="dcterms:W3CDTF">2022-08-04T21:30:00Z</dcterms:created>
  <dcterms:modified xsi:type="dcterms:W3CDTF">2022-11-04T02:35:00Z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90084ebf-83d8-4f9d-93d9-be7e746f4e9f</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